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2390" w14:textId="77777777" w:rsidR="001432AF" w:rsidRPr="00681C88" w:rsidRDefault="001432AF" w:rsidP="001432AF">
      <w:pPr>
        <w:spacing w:before="120" w:after="120" w:line="240" w:lineRule="auto"/>
        <w:jc w:val="both"/>
        <w:rPr>
          <w:lang w:val="en-GB"/>
        </w:rPr>
      </w:pPr>
      <w:r w:rsidRPr="00681C88">
        <w:rPr>
          <w:lang w:val="en-GB"/>
        </w:rPr>
        <w:t xml:space="preserve">On the basis of the relevant articles of the Memorandum on the Principles of Banking Supervision Coordination and Cooperation and Exchange of Data and Information, signed by the Central Bank of Bosnia and Herzegovina, ref. 01-897/08 dated 16 June 2008, the Banking Agency of the Federation of Bosnia and Herzegovina, ref. 01-2-1170/08 dated 16 June 2008, and the Banking Agency of Republika Srpska, ref. 01-691/08 dated 13 June 2008, and related to the conclusion ad 4. from the second meeting of Banking Supervision Coordination, held on 29 June 2023, Banking Supervision Coordination hereby adopts:  </w:t>
      </w:r>
    </w:p>
    <w:p w14:paraId="0D3829E0" w14:textId="77777777" w:rsidR="001432AF" w:rsidRPr="00681C88" w:rsidRDefault="001432AF" w:rsidP="001432AF">
      <w:pPr>
        <w:spacing w:before="120" w:after="120" w:line="240" w:lineRule="auto"/>
        <w:jc w:val="both"/>
        <w:rPr>
          <w:strike/>
          <w:lang w:val="en-GB"/>
        </w:rPr>
      </w:pPr>
    </w:p>
    <w:p w14:paraId="3EAB32B1" w14:textId="77777777" w:rsidR="001432AF" w:rsidRPr="00681C88" w:rsidRDefault="001432AF" w:rsidP="001432AF">
      <w:pPr>
        <w:spacing w:before="120" w:after="120" w:line="240" w:lineRule="auto"/>
        <w:contextualSpacing/>
        <w:jc w:val="center"/>
        <w:rPr>
          <w:sz w:val="28"/>
          <w:szCs w:val="28"/>
          <w:lang w:val="en-GB"/>
        </w:rPr>
      </w:pPr>
    </w:p>
    <w:p w14:paraId="48C4929B" w14:textId="77777777" w:rsidR="001432AF" w:rsidRPr="00681C88" w:rsidRDefault="001432AF" w:rsidP="001432AF">
      <w:pPr>
        <w:spacing w:before="120" w:after="120" w:line="240" w:lineRule="auto"/>
        <w:contextualSpacing/>
        <w:jc w:val="center"/>
        <w:rPr>
          <w:b/>
          <w:sz w:val="28"/>
          <w:szCs w:val="28"/>
          <w:lang w:val="en-GB"/>
        </w:rPr>
      </w:pPr>
      <w:r w:rsidRPr="00681C88">
        <w:rPr>
          <w:sz w:val="28"/>
          <w:szCs w:val="28"/>
          <w:lang w:val="en-GB"/>
        </w:rPr>
        <w:t xml:space="preserve">Methodology for calculating the reference rate for average weighted funding costs of banks operating in Bosnia and Herzegovina  </w:t>
      </w:r>
    </w:p>
    <w:p w14:paraId="38392A23" w14:textId="77777777" w:rsidR="001432AF" w:rsidRPr="00681C88" w:rsidRDefault="001432AF" w:rsidP="001432AF">
      <w:pPr>
        <w:spacing w:before="120" w:after="120" w:line="240" w:lineRule="auto"/>
        <w:contextualSpacing/>
        <w:rPr>
          <w:lang w:val="en-GB"/>
        </w:rPr>
      </w:pPr>
    </w:p>
    <w:p w14:paraId="041254CA" w14:textId="77777777" w:rsidR="001432AF" w:rsidRPr="00681C88" w:rsidRDefault="001432AF" w:rsidP="001432AF">
      <w:pPr>
        <w:spacing w:before="120" w:after="120" w:line="240" w:lineRule="auto"/>
        <w:contextualSpacing/>
        <w:jc w:val="center"/>
        <w:rPr>
          <w:b/>
          <w:lang w:val="en-GB"/>
        </w:rPr>
      </w:pPr>
    </w:p>
    <w:p w14:paraId="4E4B7537" w14:textId="77777777" w:rsidR="001432AF" w:rsidRPr="00681C88" w:rsidRDefault="001432AF" w:rsidP="001432AF">
      <w:pPr>
        <w:spacing w:before="120" w:after="120" w:line="240" w:lineRule="auto"/>
        <w:contextualSpacing/>
        <w:jc w:val="center"/>
        <w:rPr>
          <w:b/>
          <w:lang w:val="en-GB"/>
        </w:rPr>
      </w:pPr>
      <w:r w:rsidRPr="00681C88">
        <w:rPr>
          <w:b/>
          <w:lang w:val="en-GB"/>
        </w:rPr>
        <w:t>Article 1</w:t>
      </w:r>
    </w:p>
    <w:p w14:paraId="3FDCA2C9" w14:textId="77777777" w:rsidR="001432AF" w:rsidRPr="00681C88" w:rsidRDefault="001432AF" w:rsidP="001432AF">
      <w:pPr>
        <w:spacing w:before="120" w:after="120" w:line="240" w:lineRule="auto"/>
        <w:contextualSpacing/>
        <w:jc w:val="center"/>
        <w:rPr>
          <w:b/>
          <w:lang w:val="en-GB"/>
        </w:rPr>
      </w:pPr>
      <w:r w:rsidRPr="00681C88">
        <w:rPr>
          <w:b/>
          <w:lang w:val="en-GB"/>
        </w:rPr>
        <w:t>(Introduction)</w:t>
      </w:r>
    </w:p>
    <w:p w14:paraId="0E5DD0C4" w14:textId="77777777" w:rsidR="001432AF" w:rsidRPr="00681C88" w:rsidRDefault="001432AF" w:rsidP="001432AF">
      <w:pPr>
        <w:spacing w:before="120" w:after="120" w:line="240" w:lineRule="auto"/>
        <w:jc w:val="both"/>
        <w:rPr>
          <w:lang w:val="en-GB"/>
        </w:rPr>
      </w:pPr>
    </w:p>
    <w:p w14:paraId="401E9737" w14:textId="0635534A" w:rsidR="001432AF" w:rsidRPr="00681C88" w:rsidRDefault="001432AF" w:rsidP="001432AF">
      <w:pPr>
        <w:spacing w:before="120" w:after="120" w:line="240" w:lineRule="auto"/>
        <w:jc w:val="both"/>
        <w:rPr>
          <w:lang w:val="en-GB"/>
        </w:rPr>
      </w:pPr>
      <w:r w:rsidRPr="00681C88">
        <w:rPr>
          <w:lang w:val="en-GB"/>
        </w:rPr>
        <w:t xml:space="preserve">The Methodology for calculating the reference rate for average weighted funding costs of banks operating in Bosnia and Herzegovina, </w:t>
      </w:r>
      <w:r w:rsidR="00F27B3B" w:rsidRPr="00681C88">
        <w:rPr>
          <w:lang w:val="en-GB"/>
        </w:rPr>
        <w:t xml:space="preserve">was </w:t>
      </w:r>
      <w:r w:rsidRPr="00681C88">
        <w:rPr>
          <w:lang w:val="en-GB"/>
        </w:rPr>
        <w:t>developed by Banking Supervision Coordination</w:t>
      </w:r>
      <w:r w:rsidR="00F27B3B" w:rsidRPr="00681C88">
        <w:rPr>
          <w:lang w:val="en-GB"/>
        </w:rPr>
        <w:t>.</w:t>
      </w:r>
      <w:r w:rsidRPr="00681C88">
        <w:rPr>
          <w:lang w:val="en-GB"/>
        </w:rPr>
        <w:t xml:space="preserve"> </w:t>
      </w:r>
      <w:r w:rsidR="00F27B3B" w:rsidRPr="00681C88">
        <w:rPr>
          <w:lang w:val="en-GB"/>
        </w:rPr>
        <w:t xml:space="preserve">Due to a strong growth of reference interest rates of leading central banks which has started in 2022, it was necessary to </w:t>
      </w:r>
      <w:r w:rsidRPr="00681C88">
        <w:rPr>
          <w:lang w:val="en-GB"/>
        </w:rPr>
        <w:t xml:space="preserve">observe the </w:t>
      </w:r>
      <w:r w:rsidR="00F27B3B" w:rsidRPr="00681C88">
        <w:rPr>
          <w:lang w:val="en-GB"/>
        </w:rPr>
        <w:t>dynamics</w:t>
      </w:r>
      <w:r w:rsidRPr="00681C88">
        <w:rPr>
          <w:lang w:val="en-GB"/>
        </w:rPr>
        <w:t xml:space="preserve"> of interest rates on bank loans in the local market in the context of </w:t>
      </w:r>
      <w:r w:rsidR="00F27B3B" w:rsidRPr="00681C88">
        <w:rPr>
          <w:lang w:val="en-GB"/>
        </w:rPr>
        <w:t>real</w:t>
      </w:r>
      <w:r w:rsidRPr="00681C88">
        <w:rPr>
          <w:lang w:val="en-GB"/>
        </w:rPr>
        <w:t xml:space="preserve"> funding cost</w:t>
      </w:r>
      <w:r w:rsidR="00F27B3B" w:rsidRPr="00681C88">
        <w:rPr>
          <w:lang w:val="en-GB"/>
        </w:rPr>
        <w:t>s</w:t>
      </w:r>
      <w:r w:rsidRPr="00681C88">
        <w:rPr>
          <w:lang w:val="en-GB"/>
        </w:rPr>
        <w:t xml:space="preserve">. It has been estimated that a strong growth of interest rates on new loans, </w:t>
      </w:r>
      <w:r w:rsidR="00F27B3B" w:rsidRPr="00681C88">
        <w:rPr>
          <w:lang w:val="en-GB"/>
        </w:rPr>
        <w:t>as well as</w:t>
      </w:r>
      <w:r w:rsidRPr="00681C88">
        <w:rPr>
          <w:lang w:val="en-GB"/>
        </w:rPr>
        <w:t xml:space="preserve"> </w:t>
      </w:r>
      <w:r w:rsidR="00F27B3B" w:rsidRPr="00681C88">
        <w:rPr>
          <w:lang w:val="en-GB"/>
        </w:rPr>
        <w:t>previously</w:t>
      </w:r>
      <w:r w:rsidRPr="00681C88">
        <w:rPr>
          <w:lang w:val="en-GB"/>
        </w:rPr>
        <w:t xml:space="preserve"> contracted loans with variable interest rates, linked mainly to EURIBOR – the reference rate in European money market, could bring about a strong growth of idiosyncratic credit risk and other risks related to the interest rate growth in local banking sector. At the same time, banks in BH are currently almost entirely relying on local funding sources</w:t>
      </w:r>
      <w:r w:rsidR="00F27B3B" w:rsidRPr="00681C88">
        <w:rPr>
          <w:lang w:val="en-GB"/>
        </w:rPr>
        <w:t xml:space="preserve">, </w:t>
      </w:r>
      <w:r w:rsidRPr="00681C88">
        <w:rPr>
          <w:lang w:val="en-GB"/>
        </w:rPr>
        <w:t xml:space="preserve">not </w:t>
      </w:r>
      <w:r w:rsidR="00F27B3B" w:rsidRPr="00681C88">
        <w:rPr>
          <w:lang w:val="en-GB"/>
        </w:rPr>
        <w:t>dependant on</w:t>
      </w:r>
      <w:r w:rsidRPr="00681C88">
        <w:rPr>
          <w:lang w:val="en-GB"/>
        </w:rPr>
        <w:t xml:space="preserve"> reference interest rates </w:t>
      </w:r>
      <w:r w:rsidR="00F27B3B" w:rsidRPr="00681C88">
        <w:rPr>
          <w:lang w:val="en-GB"/>
        </w:rPr>
        <w:t>in</w:t>
      </w:r>
      <w:r w:rsidRPr="00681C88">
        <w:rPr>
          <w:lang w:val="en-GB"/>
        </w:rPr>
        <w:t xml:space="preserve"> foreign markets. Adjustment of lending rates with foreign market funding costs, in current circumstances, could lead to disruptions in the local bank market. Therefore, it is necessary to identify reference values at the entire banking system level, in order to reduce financial stability risks, improve the conditions of internal market functioning and </w:t>
      </w:r>
      <w:r w:rsidR="002F06C3" w:rsidRPr="00681C88">
        <w:rPr>
          <w:lang w:val="en-GB"/>
        </w:rPr>
        <w:t>ensure a</w:t>
      </w:r>
      <w:r w:rsidRPr="00681C88">
        <w:rPr>
          <w:lang w:val="en-GB"/>
        </w:rPr>
        <w:t xml:space="preserve"> higher level of </w:t>
      </w:r>
      <w:r w:rsidR="001605AB" w:rsidRPr="00681C88">
        <w:rPr>
          <w:lang w:val="en-GB"/>
        </w:rPr>
        <w:t xml:space="preserve">protection of </w:t>
      </w:r>
      <w:r w:rsidRPr="00681C88">
        <w:rPr>
          <w:lang w:val="en-GB"/>
        </w:rPr>
        <w:t xml:space="preserve">financial service users and investors. </w:t>
      </w:r>
    </w:p>
    <w:p w14:paraId="709BF2AB" w14:textId="77777777" w:rsidR="001432AF" w:rsidRPr="00681C88" w:rsidRDefault="001432AF" w:rsidP="001432AF">
      <w:pPr>
        <w:spacing w:before="120" w:after="120" w:line="240" w:lineRule="auto"/>
        <w:contextualSpacing/>
        <w:jc w:val="center"/>
        <w:rPr>
          <w:b/>
          <w:lang w:val="en-GB"/>
        </w:rPr>
      </w:pPr>
    </w:p>
    <w:p w14:paraId="29B97439" w14:textId="77777777" w:rsidR="001432AF" w:rsidRPr="00681C88" w:rsidRDefault="001432AF" w:rsidP="001432AF">
      <w:pPr>
        <w:spacing w:before="120" w:after="120" w:line="240" w:lineRule="auto"/>
        <w:contextualSpacing/>
        <w:jc w:val="center"/>
        <w:rPr>
          <w:b/>
          <w:lang w:val="en-GB"/>
        </w:rPr>
      </w:pPr>
      <w:r w:rsidRPr="00681C88">
        <w:rPr>
          <w:b/>
          <w:lang w:val="en-GB"/>
        </w:rPr>
        <w:t>Article 2</w:t>
      </w:r>
    </w:p>
    <w:p w14:paraId="4AAC69FA" w14:textId="77777777" w:rsidR="001432AF" w:rsidRPr="00681C88" w:rsidRDefault="001432AF" w:rsidP="001432AF">
      <w:pPr>
        <w:spacing w:before="120" w:after="120" w:line="240" w:lineRule="auto"/>
        <w:contextualSpacing/>
        <w:jc w:val="center"/>
        <w:rPr>
          <w:b/>
          <w:lang w:val="en-GB"/>
        </w:rPr>
      </w:pPr>
      <w:r w:rsidRPr="00681C88">
        <w:rPr>
          <w:b/>
          <w:lang w:val="en-GB"/>
        </w:rPr>
        <w:t>(Subject)</w:t>
      </w:r>
    </w:p>
    <w:p w14:paraId="536A694C" w14:textId="77777777" w:rsidR="001432AF" w:rsidRPr="00681C88" w:rsidRDefault="001432AF" w:rsidP="001432AF">
      <w:pPr>
        <w:spacing w:after="160" w:line="240" w:lineRule="auto"/>
        <w:contextualSpacing/>
        <w:jc w:val="center"/>
        <w:rPr>
          <w:rFonts w:eastAsia="Calibri"/>
          <w:b/>
          <w:bCs/>
          <w:lang w:val="en-GB" w:eastAsia="en-US"/>
        </w:rPr>
      </w:pPr>
    </w:p>
    <w:p w14:paraId="34565B68" w14:textId="77777777" w:rsidR="001432AF" w:rsidRPr="00681C88" w:rsidRDefault="001432AF" w:rsidP="001432AF">
      <w:pPr>
        <w:spacing w:after="160" w:line="240" w:lineRule="auto"/>
        <w:jc w:val="both"/>
        <w:rPr>
          <w:rFonts w:eastAsia="Calibri"/>
          <w:lang w:val="en-GB" w:eastAsia="en-US"/>
        </w:rPr>
      </w:pPr>
      <w:r w:rsidRPr="00681C88">
        <w:rPr>
          <w:rFonts w:eastAsia="Calibri"/>
          <w:lang w:val="en-GB" w:eastAsia="en-US"/>
        </w:rPr>
        <w:t xml:space="preserve">The elements for calculating the reference rate for average weighted funding costs (RRFC) of banks operating in Bosnia and Herzegovina are defined by this Methodology. </w:t>
      </w:r>
    </w:p>
    <w:p w14:paraId="6FFD739A" w14:textId="77777777" w:rsidR="001432AF" w:rsidRPr="00681C88" w:rsidRDefault="001432AF" w:rsidP="001432AF">
      <w:pPr>
        <w:spacing w:after="160" w:line="240" w:lineRule="auto"/>
        <w:jc w:val="both"/>
        <w:rPr>
          <w:rFonts w:eastAsia="Calibri"/>
          <w:lang w:val="en-GB" w:eastAsia="en-US"/>
        </w:rPr>
      </w:pPr>
      <w:r w:rsidRPr="00681C88">
        <w:rPr>
          <w:rFonts w:eastAsia="Calibri"/>
          <w:lang w:val="en-GB" w:eastAsia="en-US"/>
        </w:rPr>
        <w:t>The methodology has been adjusted to the availability of statistical and regulatory data sent by banks to the competent Banking Agencies, and specific features of bank operations in BH.</w:t>
      </w:r>
    </w:p>
    <w:p w14:paraId="6948DE71" w14:textId="38B7A62F" w:rsidR="001432AF" w:rsidRPr="00681C88" w:rsidRDefault="001432AF" w:rsidP="001432AF">
      <w:pPr>
        <w:spacing w:after="160" w:line="240" w:lineRule="auto"/>
        <w:jc w:val="both"/>
        <w:rPr>
          <w:rFonts w:eastAsia="Calibri"/>
          <w:bCs/>
          <w:lang w:val="en-GB" w:eastAsia="en-US"/>
        </w:rPr>
      </w:pPr>
      <w:r w:rsidRPr="00681C88">
        <w:rPr>
          <w:rFonts w:eastAsia="Calibri"/>
          <w:lang w:val="en-GB" w:eastAsia="en-US"/>
        </w:rPr>
        <w:t xml:space="preserve">The reference rate for average weighted banks' funding costs (RRFC) is a rate of average weighted costs of funding sources of banks in Bosnia and Herzegovina, taking into account the period (3, 6 or 12 months), the type of source and the relevant currency (convertible mark and euro). RRFC is calculated for purpose of supporting banks when adjusting variable </w:t>
      </w:r>
      <w:r w:rsidR="006F1148" w:rsidRPr="002E4A41">
        <w:rPr>
          <w:rFonts w:eastAsia="Calibri"/>
          <w:lang w:val="en-GB" w:eastAsia="en-US"/>
        </w:rPr>
        <w:t>price</w:t>
      </w:r>
      <w:r w:rsidR="006F1148" w:rsidRPr="00681C88">
        <w:rPr>
          <w:rFonts w:eastAsia="Calibri"/>
          <w:lang w:val="en-GB" w:eastAsia="en-US"/>
        </w:rPr>
        <w:t xml:space="preserve"> </w:t>
      </w:r>
      <w:r w:rsidRPr="00681C88">
        <w:rPr>
          <w:rFonts w:eastAsia="Calibri"/>
          <w:lang w:val="en-GB" w:eastAsia="en-US"/>
        </w:rPr>
        <w:t xml:space="preserve">components of funding sources in financial contracts. The aim is to make </w:t>
      </w:r>
      <w:r w:rsidR="006F4E29" w:rsidRPr="00681C88">
        <w:rPr>
          <w:rFonts w:eastAsia="Calibri"/>
          <w:lang w:val="en-GB" w:eastAsia="en-US"/>
        </w:rPr>
        <w:t xml:space="preserve">several reference rates </w:t>
      </w:r>
      <w:r w:rsidRPr="00681C88">
        <w:rPr>
          <w:rFonts w:eastAsia="Calibri"/>
          <w:lang w:val="en-GB" w:eastAsia="en-US"/>
        </w:rPr>
        <w:t xml:space="preserve">available to banks, among which they will be able to choose the relevant one for the selected business model, ensuring at the same time, a higher level of protection of financial </w:t>
      </w:r>
      <w:r w:rsidRPr="00681C88">
        <w:rPr>
          <w:rFonts w:eastAsia="Calibri"/>
          <w:lang w:val="en-GB" w:eastAsia="en-US"/>
        </w:rPr>
        <w:lastRenderedPageBreak/>
        <w:t>service users and investors from arbitr</w:t>
      </w:r>
      <w:r w:rsidR="00A026FC" w:rsidRPr="00681C88">
        <w:rPr>
          <w:rFonts w:eastAsia="Calibri"/>
          <w:lang w:val="en-GB" w:eastAsia="en-US"/>
        </w:rPr>
        <w:t>ary</w:t>
      </w:r>
      <w:r w:rsidRPr="00681C88">
        <w:rPr>
          <w:rFonts w:eastAsia="Calibri"/>
          <w:lang w:val="en-GB" w:eastAsia="en-US"/>
        </w:rPr>
        <w:t xml:space="preserve"> changes of the level of interest rates in the existing contracts with banks. </w:t>
      </w:r>
    </w:p>
    <w:p w14:paraId="2B8A8CDD" w14:textId="77777777" w:rsidR="001432AF" w:rsidRPr="00681C88" w:rsidRDefault="001432AF" w:rsidP="001432AF">
      <w:pPr>
        <w:spacing w:after="160" w:line="240" w:lineRule="auto"/>
        <w:contextualSpacing/>
        <w:jc w:val="center"/>
        <w:rPr>
          <w:rFonts w:eastAsia="Calibri"/>
          <w:b/>
          <w:bCs/>
          <w:lang w:val="en-GB" w:eastAsia="en-US"/>
        </w:rPr>
      </w:pPr>
    </w:p>
    <w:p w14:paraId="7D4ABEC4" w14:textId="77777777" w:rsidR="001432AF" w:rsidRPr="00681C88" w:rsidRDefault="001432AF" w:rsidP="001432AF">
      <w:pPr>
        <w:spacing w:after="160" w:line="240" w:lineRule="auto"/>
        <w:contextualSpacing/>
        <w:jc w:val="center"/>
        <w:rPr>
          <w:rFonts w:eastAsia="Calibri"/>
          <w:b/>
          <w:bCs/>
          <w:lang w:val="en-GB" w:eastAsia="en-US"/>
        </w:rPr>
      </w:pPr>
      <w:r w:rsidRPr="00681C88">
        <w:rPr>
          <w:rFonts w:eastAsia="Calibri"/>
          <w:b/>
          <w:bCs/>
          <w:lang w:val="en-GB" w:eastAsia="en-US"/>
        </w:rPr>
        <w:t>Article 3</w:t>
      </w:r>
    </w:p>
    <w:p w14:paraId="37856628" w14:textId="77777777" w:rsidR="001432AF" w:rsidRPr="00681C88" w:rsidRDefault="001432AF" w:rsidP="001432AF">
      <w:pPr>
        <w:spacing w:after="160" w:line="240" w:lineRule="auto"/>
        <w:contextualSpacing/>
        <w:jc w:val="center"/>
        <w:rPr>
          <w:rFonts w:eastAsia="Calibri"/>
          <w:b/>
          <w:bCs/>
          <w:lang w:val="en-GB" w:eastAsia="en-US"/>
        </w:rPr>
      </w:pPr>
      <w:r w:rsidRPr="00681C88">
        <w:rPr>
          <w:rFonts w:eastAsia="Calibri"/>
          <w:b/>
          <w:bCs/>
          <w:lang w:val="en-GB" w:eastAsia="en-US"/>
        </w:rPr>
        <w:t>(Abbreviations)</w:t>
      </w:r>
    </w:p>
    <w:p w14:paraId="13ACD73D" w14:textId="77777777" w:rsidR="001432AF" w:rsidRPr="00681C88" w:rsidRDefault="001432AF" w:rsidP="001432AF">
      <w:pPr>
        <w:spacing w:after="160" w:line="240" w:lineRule="auto"/>
        <w:contextualSpacing/>
        <w:rPr>
          <w:rFonts w:eastAsia="Calibri"/>
          <w:b/>
          <w:bCs/>
          <w:lang w:val="en-GB" w:eastAsia="en-US"/>
        </w:rPr>
      </w:pPr>
    </w:p>
    <w:p w14:paraId="68C9F64E" w14:textId="77777777" w:rsidR="001432AF" w:rsidRPr="00681C88" w:rsidRDefault="001432AF" w:rsidP="001432AF">
      <w:pPr>
        <w:spacing w:after="160" w:line="240" w:lineRule="auto"/>
        <w:contextualSpacing/>
        <w:rPr>
          <w:rFonts w:eastAsia="Calibri"/>
          <w:bCs/>
          <w:lang w:val="en-GB" w:eastAsia="en-US"/>
        </w:rPr>
      </w:pPr>
      <w:r w:rsidRPr="00681C88">
        <w:rPr>
          <w:rFonts w:eastAsia="Calibri"/>
          <w:b/>
          <w:lang w:val="en-GB"/>
        </w:rPr>
        <w:t>BARS</w:t>
      </w:r>
      <w:r w:rsidRPr="00681C88">
        <w:rPr>
          <w:rFonts w:eastAsia="Calibri"/>
          <w:bCs/>
          <w:lang w:val="en-GB" w:eastAsia="en-US"/>
        </w:rPr>
        <w:t xml:space="preserve"> ‒ The Banking Agency of Republika Srpska </w:t>
      </w:r>
    </w:p>
    <w:p w14:paraId="26FB028D" w14:textId="77777777" w:rsidR="001432AF" w:rsidRPr="00681C88" w:rsidRDefault="001432AF" w:rsidP="001432AF">
      <w:pPr>
        <w:spacing w:after="160" w:line="240" w:lineRule="auto"/>
        <w:contextualSpacing/>
        <w:rPr>
          <w:rFonts w:eastAsia="Calibri"/>
          <w:bCs/>
          <w:lang w:val="en-GB" w:eastAsia="en-US"/>
        </w:rPr>
      </w:pPr>
      <w:r w:rsidRPr="00681C88">
        <w:rPr>
          <w:rFonts w:eastAsia="Calibri"/>
          <w:b/>
          <w:lang w:val="en-GB"/>
        </w:rPr>
        <w:t>BH</w:t>
      </w:r>
      <w:r w:rsidRPr="00681C88">
        <w:rPr>
          <w:rFonts w:eastAsia="Calibri"/>
          <w:bCs/>
          <w:lang w:val="en-GB" w:eastAsia="en-US"/>
        </w:rPr>
        <w:t xml:space="preserve"> ‒ Bosnia and Herzegovina</w:t>
      </w:r>
    </w:p>
    <w:p w14:paraId="069DAA80" w14:textId="77777777" w:rsidR="001432AF" w:rsidRPr="00681C88" w:rsidRDefault="001432AF" w:rsidP="001432AF">
      <w:pPr>
        <w:spacing w:after="160" w:line="240" w:lineRule="auto"/>
        <w:contextualSpacing/>
        <w:rPr>
          <w:rFonts w:eastAsia="Calibri"/>
          <w:bCs/>
          <w:lang w:val="en-GB" w:eastAsia="en-US"/>
        </w:rPr>
      </w:pPr>
      <w:r w:rsidRPr="00681C88">
        <w:rPr>
          <w:rFonts w:eastAsia="Calibri"/>
          <w:b/>
          <w:lang w:val="en-GB"/>
        </w:rPr>
        <w:t>CBBH</w:t>
      </w:r>
      <w:r w:rsidRPr="00681C88">
        <w:rPr>
          <w:rFonts w:eastAsia="Calibri"/>
          <w:bCs/>
          <w:lang w:val="en-GB" w:eastAsia="en-US"/>
        </w:rPr>
        <w:t xml:space="preserve"> ‒ the Central Bank of Bosnia and Herzegovina</w:t>
      </w:r>
    </w:p>
    <w:p w14:paraId="69A2AAB8" w14:textId="77777777" w:rsidR="001432AF" w:rsidRPr="00681C88" w:rsidRDefault="001432AF" w:rsidP="001432AF">
      <w:pPr>
        <w:spacing w:after="160" w:line="240" w:lineRule="auto"/>
        <w:contextualSpacing/>
        <w:rPr>
          <w:rFonts w:eastAsia="Calibri"/>
          <w:bCs/>
          <w:lang w:val="en-GB" w:eastAsia="en-US"/>
        </w:rPr>
      </w:pPr>
      <w:r w:rsidRPr="00681C88">
        <w:rPr>
          <w:rFonts w:eastAsia="Calibri"/>
          <w:b/>
          <w:lang w:val="en-GB"/>
        </w:rPr>
        <w:t>FBA</w:t>
      </w:r>
      <w:r w:rsidRPr="00681C88">
        <w:rPr>
          <w:rFonts w:eastAsia="Calibri"/>
          <w:bCs/>
          <w:lang w:val="en-GB" w:eastAsia="en-US"/>
        </w:rPr>
        <w:t xml:space="preserve"> ‒ Banking Agency of the Federation of Bosnia and Herzegovina</w:t>
      </w:r>
    </w:p>
    <w:p w14:paraId="207C33DB" w14:textId="77777777" w:rsidR="001432AF" w:rsidRPr="00681C88" w:rsidRDefault="001432AF" w:rsidP="001432AF">
      <w:pPr>
        <w:spacing w:after="160" w:line="240" w:lineRule="auto"/>
        <w:contextualSpacing/>
        <w:rPr>
          <w:rFonts w:eastAsia="Calibri"/>
          <w:bCs/>
          <w:lang w:val="en-GB" w:eastAsia="en-US"/>
        </w:rPr>
      </w:pPr>
      <w:r w:rsidRPr="00681C88">
        <w:rPr>
          <w:rFonts w:eastAsia="Calibri"/>
          <w:b/>
          <w:lang w:val="en-GB"/>
        </w:rPr>
        <w:t>Methodology</w:t>
      </w:r>
      <w:r w:rsidRPr="00681C88">
        <w:rPr>
          <w:rFonts w:eastAsia="Calibri"/>
          <w:bCs/>
          <w:lang w:val="en-GB" w:eastAsia="en-US"/>
        </w:rPr>
        <w:t xml:space="preserve"> ‒ Methodology for calculating the reference rate of average weighted banks' funding cost </w:t>
      </w:r>
    </w:p>
    <w:p w14:paraId="57DE1852" w14:textId="77777777" w:rsidR="001432AF" w:rsidRPr="00681C88" w:rsidRDefault="001432AF" w:rsidP="001432AF">
      <w:pPr>
        <w:spacing w:after="160" w:line="240" w:lineRule="auto"/>
        <w:contextualSpacing/>
        <w:rPr>
          <w:rFonts w:eastAsia="Calibri"/>
          <w:bCs/>
          <w:lang w:val="en-GB" w:eastAsia="en-US"/>
        </w:rPr>
      </w:pPr>
      <w:r w:rsidRPr="00681C88">
        <w:rPr>
          <w:rFonts w:eastAsia="Calibri"/>
          <w:b/>
          <w:bCs/>
          <w:lang w:val="en-GB" w:eastAsia="en-US"/>
        </w:rPr>
        <w:t>RRFC</w:t>
      </w:r>
      <w:r w:rsidRPr="00681C88">
        <w:rPr>
          <w:rFonts w:eastAsia="Calibri"/>
          <w:bCs/>
          <w:lang w:val="en-GB" w:eastAsia="en-US"/>
        </w:rPr>
        <w:t xml:space="preserve"> ‒ Reference rate of average weighted banks' funding cost </w:t>
      </w:r>
    </w:p>
    <w:p w14:paraId="7E57F1BA" w14:textId="77777777" w:rsidR="001432AF" w:rsidRPr="00681C88" w:rsidRDefault="001432AF" w:rsidP="001432AF">
      <w:pPr>
        <w:spacing w:after="160" w:line="240" w:lineRule="auto"/>
        <w:contextualSpacing/>
        <w:rPr>
          <w:rFonts w:eastAsia="Calibri"/>
          <w:bCs/>
          <w:lang w:val="en-GB" w:eastAsia="en-US"/>
        </w:rPr>
      </w:pPr>
    </w:p>
    <w:p w14:paraId="0EE17B03" w14:textId="77777777" w:rsidR="001432AF" w:rsidRPr="00681C88" w:rsidRDefault="001432AF" w:rsidP="001432AF">
      <w:pPr>
        <w:spacing w:after="160" w:line="240" w:lineRule="auto"/>
        <w:contextualSpacing/>
        <w:jc w:val="center"/>
        <w:rPr>
          <w:rFonts w:eastAsia="Calibri"/>
          <w:b/>
          <w:bCs/>
          <w:lang w:val="en-GB" w:eastAsia="en-US"/>
        </w:rPr>
      </w:pPr>
    </w:p>
    <w:p w14:paraId="7B38E11A" w14:textId="77777777" w:rsidR="001432AF" w:rsidRPr="00681C88" w:rsidRDefault="001432AF" w:rsidP="001432AF">
      <w:pPr>
        <w:spacing w:after="160" w:line="240" w:lineRule="auto"/>
        <w:contextualSpacing/>
        <w:jc w:val="center"/>
        <w:rPr>
          <w:rFonts w:eastAsia="Calibri"/>
          <w:b/>
          <w:bCs/>
          <w:lang w:val="en-GB" w:eastAsia="en-US"/>
        </w:rPr>
      </w:pPr>
      <w:r w:rsidRPr="00681C88">
        <w:rPr>
          <w:rFonts w:eastAsia="Calibri"/>
          <w:b/>
          <w:bCs/>
          <w:lang w:val="en-GB" w:eastAsia="en-US"/>
        </w:rPr>
        <w:t>Article 4</w:t>
      </w:r>
    </w:p>
    <w:p w14:paraId="5020996E" w14:textId="77777777" w:rsidR="001432AF" w:rsidRPr="00681C88" w:rsidRDefault="001432AF" w:rsidP="001432AF">
      <w:pPr>
        <w:spacing w:after="160" w:line="240" w:lineRule="auto"/>
        <w:contextualSpacing/>
        <w:jc w:val="center"/>
        <w:rPr>
          <w:rFonts w:eastAsia="Calibri"/>
          <w:b/>
          <w:bCs/>
          <w:lang w:val="en-GB" w:eastAsia="en-US"/>
        </w:rPr>
      </w:pPr>
      <w:r w:rsidRPr="00681C88">
        <w:rPr>
          <w:rFonts w:eastAsia="Calibri"/>
          <w:b/>
          <w:bCs/>
          <w:lang w:val="en-GB" w:eastAsia="en-US"/>
        </w:rPr>
        <w:t>(Type and coverage of RRFC)</w:t>
      </w:r>
    </w:p>
    <w:p w14:paraId="0DAAFBE3" w14:textId="77777777" w:rsidR="001432AF" w:rsidRPr="00681C88" w:rsidRDefault="001432AF" w:rsidP="001432AF">
      <w:pPr>
        <w:spacing w:after="160" w:line="240" w:lineRule="auto"/>
        <w:contextualSpacing/>
        <w:jc w:val="center"/>
        <w:rPr>
          <w:rFonts w:eastAsia="Calibri"/>
          <w:b/>
          <w:bCs/>
          <w:lang w:val="en-GB" w:eastAsia="en-US"/>
        </w:rPr>
      </w:pPr>
    </w:p>
    <w:p w14:paraId="738DEEA8" w14:textId="77777777" w:rsidR="001432AF" w:rsidRPr="00681C88" w:rsidRDefault="001432AF" w:rsidP="001432AF">
      <w:pPr>
        <w:spacing w:after="160" w:line="240" w:lineRule="auto"/>
        <w:jc w:val="both"/>
        <w:rPr>
          <w:rFonts w:eastAsia="Calibri"/>
          <w:lang w:val="en-GB" w:eastAsia="en-US"/>
        </w:rPr>
      </w:pPr>
      <w:r w:rsidRPr="00681C88">
        <w:rPr>
          <w:rFonts w:eastAsia="Calibri"/>
          <w:lang w:val="en-GB" w:eastAsia="en-US"/>
        </w:rPr>
        <w:t>According to the coverage of funding sources, the following three types of RRFC are distinguished:</w:t>
      </w:r>
    </w:p>
    <w:p w14:paraId="27098FE7" w14:textId="77777777" w:rsidR="001432AF" w:rsidRPr="00681C88" w:rsidRDefault="001432AF" w:rsidP="001432AF">
      <w:pPr>
        <w:numPr>
          <w:ilvl w:val="0"/>
          <w:numId w:val="24"/>
        </w:numPr>
        <w:spacing w:after="160" w:line="240" w:lineRule="auto"/>
        <w:ind w:left="284" w:hanging="284"/>
        <w:contextualSpacing/>
        <w:jc w:val="both"/>
        <w:rPr>
          <w:rFonts w:eastAsia="Calibri"/>
          <w:lang w:val="en-GB" w:eastAsia="en-US"/>
        </w:rPr>
      </w:pPr>
      <w:bookmarkStart w:id="0" w:name="_Hlk132880884"/>
      <w:r w:rsidRPr="00681C88">
        <w:rPr>
          <w:rFonts w:eastAsia="Calibri"/>
          <w:lang w:val="en-GB" w:eastAsia="en-US"/>
        </w:rPr>
        <w:t>RRFC</w:t>
      </w:r>
      <w:bookmarkEnd w:id="0"/>
      <w:r w:rsidRPr="00681C88">
        <w:rPr>
          <w:rFonts w:eastAsia="Calibri"/>
          <w:lang w:val="en-GB" w:eastAsia="en-US"/>
        </w:rPr>
        <w:t xml:space="preserve"> 1 </w:t>
      </w:r>
      <w:r w:rsidRPr="00681C88">
        <w:rPr>
          <w:rFonts w:eastAsia="Calibri"/>
          <w:bCs/>
          <w:lang w:val="en-GB" w:eastAsia="en-US"/>
        </w:rPr>
        <w:t>‒</w:t>
      </w:r>
      <w:r w:rsidRPr="00681C88">
        <w:rPr>
          <w:rFonts w:eastAsia="Calibri"/>
          <w:lang w:val="en-GB" w:eastAsia="en-US"/>
        </w:rPr>
        <w:t xml:space="preserve"> for funding sources received from households (calculated for the currencies convertible mark and euro)</w:t>
      </w:r>
      <w:bookmarkStart w:id="1" w:name="_Hlk132881010"/>
      <w:r w:rsidRPr="00681C88">
        <w:rPr>
          <w:rFonts w:eastAsia="Calibri"/>
          <w:lang w:val="en-GB" w:eastAsia="en-US"/>
        </w:rPr>
        <w:t xml:space="preserve"> </w:t>
      </w:r>
    </w:p>
    <w:bookmarkEnd w:id="1"/>
    <w:p w14:paraId="34E267E9" w14:textId="77777777" w:rsidR="001432AF" w:rsidRPr="00681C88" w:rsidRDefault="001432AF" w:rsidP="001432AF">
      <w:pPr>
        <w:numPr>
          <w:ilvl w:val="0"/>
          <w:numId w:val="24"/>
        </w:numPr>
        <w:spacing w:after="160" w:line="240" w:lineRule="auto"/>
        <w:ind w:left="284" w:hanging="284"/>
        <w:contextualSpacing/>
        <w:jc w:val="both"/>
        <w:rPr>
          <w:rFonts w:eastAsia="Calibri"/>
          <w:lang w:val="en-GB" w:eastAsia="en-US"/>
        </w:rPr>
      </w:pPr>
      <w:r w:rsidRPr="00681C88">
        <w:rPr>
          <w:rFonts w:eastAsia="Calibri"/>
          <w:lang w:val="en-GB" w:eastAsia="en-US"/>
        </w:rPr>
        <w:t xml:space="preserve">RRFC 2 </w:t>
      </w:r>
      <w:r w:rsidRPr="00681C88">
        <w:rPr>
          <w:rFonts w:eastAsia="Calibri"/>
          <w:bCs/>
          <w:lang w:val="en-GB" w:eastAsia="en-US"/>
        </w:rPr>
        <w:t>‒</w:t>
      </w:r>
      <w:r w:rsidRPr="00681C88">
        <w:rPr>
          <w:rFonts w:eastAsia="Calibri"/>
          <w:lang w:val="en-GB" w:eastAsia="en-US"/>
        </w:rPr>
        <w:t xml:space="preserve"> for funding sources received from households and non-financial companies (calculated for the currencies convertible mark and euro) </w:t>
      </w:r>
    </w:p>
    <w:p w14:paraId="6CB92B0F" w14:textId="77777777" w:rsidR="001432AF" w:rsidRPr="00681C88" w:rsidRDefault="001432AF" w:rsidP="001432AF">
      <w:pPr>
        <w:numPr>
          <w:ilvl w:val="0"/>
          <w:numId w:val="24"/>
        </w:numPr>
        <w:spacing w:after="160" w:line="259" w:lineRule="auto"/>
        <w:ind w:left="284" w:hanging="284"/>
        <w:jc w:val="both"/>
        <w:rPr>
          <w:rFonts w:eastAsia="Calibri"/>
          <w:lang w:val="en-GB" w:eastAsia="en-US"/>
        </w:rPr>
      </w:pPr>
      <w:r w:rsidRPr="00681C88">
        <w:rPr>
          <w:rFonts w:eastAsia="Calibri"/>
          <w:lang w:val="en-GB" w:eastAsia="en-US"/>
        </w:rPr>
        <w:t xml:space="preserve">RRFC 3 </w:t>
      </w:r>
      <w:r w:rsidRPr="00681C88">
        <w:rPr>
          <w:rFonts w:eastAsia="Calibri"/>
          <w:bCs/>
          <w:lang w:val="en-GB" w:eastAsia="en-US"/>
        </w:rPr>
        <w:t>‒</w:t>
      </w:r>
      <w:r w:rsidRPr="00681C88">
        <w:rPr>
          <w:rFonts w:eastAsia="Calibri"/>
          <w:lang w:val="en-GB" w:eastAsia="en-US"/>
        </w:rPr>
        <w:t xml:space="preserve"> for all funding sources received from households, non-financial companies and financial institutions (calculated for the currencies convertible mark and euro).</w:t>
      </w:r>
    </w:p>
    <w:p w14:paraId="16B5E15A" w14:textId="575EDD32" w:rsidR="001432AF" w:rsidRPr="00681C88" w:rsidRDefault="001432AF" w:rsidP="006F1148">
      <w:pPr>
        <w:spacing w:after="160" w:line="259" w:lineRule="auto"/>
        <w:jc w:val="both"/>
        <w:rPr>
          <w:rFonts w:eastAsia="Calibri"/>
          <w:lang w:val="en-GB" w:eastAsia="en-US"/>
        </w:rPr>
      </w:pPr>
      <w:r w:rsidRPr="00681C88">
        <w:rPr>
          <w:rFonts w:eastAsia="Calibri"/>
          <w:lang w:val="en-GB" w:eastAsia="en-US"/>
        </w:rPr>
        <w:t xml:space="preserve">All the banks operating in Bosnia and Herzegovina are </w:t>
      </w:r>
      <w:r w:rsidR="00A026FC" w:rsidRPr="00681C88">
        <w:rPr>
          <w:rFonts w:eastAsia="Calibri"/>
          <w:lang w:val="en-GB" w:eastAsia="en-US"/>
        </w:rPr>
        <w:t>included</w:t>
      </w:r>
      <w:r w:rsidRPr="00681C88">
        <w:rPr>
          <w:rFonts w:eastAsia="Calibri"/>
          <w:lang w:val="en-GB" w:eastAsia="en-US"/>
        </w:rPr>
        <w:t xml:space="preserve"> in the calculation of RRFC. </w:t>
      </w:r>
      <w:r w:rsidR="009F1D7D" w:rsidRPr="00681C88">
        <w:rPr>
          <w:rFonts w:eastAsia="Calibri"/>
          <w:lang w:val="en-GB" w:eastAsia="en-US"/>
        </w:rPr>
        <w:t>In order to</w:t>
      </w:r>
      <w:r w:rsidRPr="00681C88">
        <w:rPr>
          <w:rFonts w:eastAsia="Calibri"/>
          <w:lang w:val="en-GB" w:eastAsia="en-US"/>
        </w:rPr>
        <w:t xml:space="preserve"> decreas</w:t>
      </w:r>
      <w:r w:rsidR="009F1D7D" w:rsidRPr="00681C88">
        <w:rPr>
          <w:rFonts w:eastAsia="Calibri"/>
          <w:lang w:val="en-GB" w:eastAsia="en-US"/>
        </w:rPr>
        <w:t>e the</w:t>
      </w:r>
      <w:r w:rsidRPr="00681C88">
        <w:rPr>
          <w:rFonts w:eastAsia="Calibri"/>
          <w:lang w:val="en-GB" w:eastAsia="en-US"/>
        </w:rPr>
        <w:t xml:space="preserve"> risk of asymmetric solutions applicable </w:t>
      </w:r>
      <w:r w:rsidR="006F1148" w:rsidRPr="00E03958">
        <w:rPr>
          <w:rFonts w:eastAsia="Calibri"/>
          <w:lang w:val="en-GB" w:eastAsia="en-US"/>
        </w:rPr>
        <w:t>to</w:t>
      </w:r>
      <w:r w:rsidRPr="00681C88">
        <w:rPr>
          <w:rFonts w:eastAsia="Calibri"/>
          <w:lang w:val="en-GB" w:eastAsia="en-US"/>
        </w:rPr>
        <w:t xml:space="preserve"> banks from the </w:t>
      </w:r>
      <w:r w:rsidR="006F1148" w:rsidRPr="00E03958">
        <w:rPr>
          <w:rFonts w:eastAsia="Calibri"/>
          <w:lang w:val="en-GB" w:eastAsia="en-US"/>
        </w:rPr>
        <w:t>jurisdiction</w:t>
      </w:r>
      <w:r w:rsidR="006F1148" w:rsidRPr="00681C88">
        <w:rPr>
          <w:rFonts w:eastAsia="Calibri"/>
          <w:lang w:val="en-GB" w:eastAsia="en-US"/>
        </w:rPr>
        <w:t xml:space="preserve"> </w:t>
      </w:r>
      <w:r w:rsidRPr="00681C88">
        <w:rPr>
          <w:rFonts w:eastAsia="Calibri"/>
          <w:lang w:val="en-GB" w:eastAsia="en-US"/>
        </w:rPr>
        <w:t>of the Entity Banking Agencies, particularly having in mind the cases of register</w:t>
      </w:r>
      <w:r w:rsidR="009F1D7D" w:rsidRPr="00681C88">
        <w:rPr>
          <w:rFonts w:eastAsia="Calibri"/>
          <w:lang w:val="en-GB" w:eastAsia="en-US"/>
        </w:rPr>
        <w:t>ed</w:t>
      </w:r>
      <w:r w:rsidRPr="00681C88">
        <w:rPr>
          <w:rFonts w:eastAsia="Calibri"/>
          <w:lang w:val="en-GB" w:eastAsia="en-US"/>
        </w:rPr>
        <w:t xml:space="preserve"> headquarters of banks from the same group in both Entities, the single RRFC is calculated for all the banks, similarly to the practice of publishing </w:t>
      </w:r>
      <w:r w:rsidR="009F1D7D" w:rsidRPr="00681C88">
        <w:rPr>
          <w:rFonts w:eastAsia="Calibri"/>
          <w:lang w:val="en-GB" w:eastAsia="en-US"/>
        </w:rPr>
        <w:t xml:space="preserve">weighted </w:t>
      </w:r>
      <w:r w:rsidRPr="00681C88">
        <w:rPr>
          <w:rFonts w:eastAsia="Calibri"/>
          <w:lang w:val="en-GB" w:eastAsia="en-US"/>
        </w:rPr>
        <w:t xml:space="preserve">average interest rate on new loans, or new deposits, by the CBBH. </w:t>
      </w:r>
    </w:p>
    <w:p w14:paraId="5A92F9C2" w14:textId="637EB6DF" w:rsidR="001432AF" w:rsidRPr="00681C88" w:rsidRDefault="001432AF" w:rsidP="001432AF">
      <w:pPr>
        <w:spacing w:after="160" w:line="240" w:lineRule="auto"/>
        <w:jc w:val="both"/>
        <w:rPr>
          <w:rFonts w:eastAsia="Calibri"/>
          <w:lang w:val="en-GB" w:eastAsia="en-US"/>
        </w:rPr>
      </w:pPr>
      <w:r w:rsidRPr="00681C88">
        <w:rPr>
          <w:rFonts w:eastAsia="Calibri"/>
          <w:lang w:val="en-GB" w:eastAsia="en-US"/>
        </w:rPr>
        <w:t xml:space="preserve">Each of the three RRFCs is calculated for the reference periods of 3, 6 and 12 months. The name of each RRFC includes a clear indication of funding coverage (coverage 1, 2 or 3), an indication of the duration of the reference period </w:t>
      </w:r>
      <w:r w:rsidR="009F1D7D" w:rsidRPr="00681C88">
        <w:rPr>
          <w:rFonts w:eastAsia="Calibri"/>
          <w:lang w:val="en-GB" w:eastAsia="en-US"/>
        </w:rPr>
        <w:t>of</w:t>
      </w:r>
      <w:r w:rsidRPr="00681C88">
        <w:rPr>
          <w:rFonts w:eastAsia="Calibri"/>
          <w:lang w:val="en-GB" w:eastAsia="en-US"/>
        </w:rPr>
        <w:t xml:space="preserve"> the source data on which RRFC is calculated (3 M, 6 M or 12 M), and the designation of the currency of funding (KM and EUR), the total of 18 RRFCs. Funds in KM with currency indexation to euro are included in KM currency. </w:t>
      </w:r>
    </w:p>
    <w:p w14:paraId="53846CEE" w14:textId="77777777" w:rsidR="001432AF" w:rsidRPr="00681C88" w:rsidRDefault="001432AF" w:rsidP="001432AF">
      <w:pPr>
        <w:spacing w:after="160" w:line="240" w:lineRule="auto"/>
        <w:jc w:val="both"/>
        <w:rPr>
          <w:rFonts w:eastAsia="Calibri"/>
          <w:lang w:val="en-GB" w:eastAsia="en-US"/>
        </w:rPr>
      </w:pPr>
      <w:r w:rsidRPr="00681C88">
        <w:rPr>
          <w:rFonts w:eastAsia="Calibri"/>
          <w:lang w:val="en-GB" w:eastAsia="en-US"/>
        </w:rPr>
        <w:t>RRFC indices are calculated only for banking sector. On the basis of the data on all individual banks, the average rate of funding costs of banks in BH is calculated.</w:t>
      </w:r>
    </w:p>
    <w:p w14:paraId="1A53BE0E" w14:textId="77777777" w:rsidR="001432AF" w:rsidRPr="00681C88" w:rsidRDefault="001432AF" w:rsidP="001432AF">
      <w:pPr>
        <w:spacing w:after="160" w:line="240" w:lineRule="auto"/>
        <w:contextualSpacing/>
        <w:jc w:val="center"/>
        <w:rPr>
          <w:rFonts w:eastAsia="Calibri"/>
          <w:b/>
          <w:bCs/>
          <w:lang w:val="en-GB" w:eastAsia="en-US"/>
        </w:rPr>
      </w:pPr>
    </w:p>
    <w:p w14:paraId="19AEDF87" w14:textId="77777777" w:rsidR="001432AF" w:rsidRPr="00681C88" w:rsidRDefault="001432AF" w:rsidP="001432AF">
      <w:pPr>
        <w:spacing w:after="160" w:line="240" w:lineRule="auto"/>
        <w:contextualSpacing/>
        <w:jc w:val="center"/>
        <w:rPr>
          <w:rFonts w:eastAsia="Calibri"/>
          <w:b/>
          <w:bCs/>
          <w:lang w:val="en-GB" w:eastAsia="en-US"/>
        </w:rPr>
      </w:pPr>
      <w:r w:rsidRPr="00681C88">
        <w:rPr>
          <w:rFonts w:eastAsia="Calibri"/>
          <w:b/>
          <w:bCs/>
          <w:lang w:val="en-GB" w:eastAsia="en-US"/>
        </w:rPr>
        <w:t xml:space="preserve">Article 5 </w:t>
      </w:r>
    </w:p>
    <w:p w14:paraId="64C1F99C" w14:textId="77777777" w:rsidR="001432AF" w:rsidRPr="00681C88" w:rsidRDefault="001432AF" w:rsidP="001432AF">
      <w:pPr>
        <w:spacing w:after="160" w:line="240" w:lineRule="auto"/>
        <w:contextualSpacing/>
        <w:jc w:val="center"/>
        <w:rPr>
          <w:rFonts w:eastAsia="Calibri"/>
          <w:b/>
          <w:bCs/>
          <w:lang w:val="en-GB" w:eastAsia="en-US"/>
        </w:rPr>
      </w:pPr>
      <w:r w:rsidRPr="00681C88">
        <w:rPr>
          <w:rFonts w:eastAsia="Calibri"/>
          <w:b/>
          <w:bCs/>
          <w:lang w:val="en-GB" w:eastAsia="en-US"/>
        </w:rPr>
        <w:t>(Structure, sources and coverage of data)</w:t>
      </w:r>
    </w:p>
    <w:p w14:paraId="0091BF06" w14:textId="77777777" w:rsidR="001432AF" w:rsidRPr="00681C88" w:rsidRDefault="001432AF" w:rsidP="001432AF">
      <w:pPr>
        <w:spacing w:after="160" w:line="240" w:lineRule="auto"/>
        <w:contextualSpacing/>
        <w:jc w:val="center"/>
        <w:rPr>
          <w:rFonts w:eastAsia="Calibri"/>
          <w:b/>
          <w:bCs/>
          <w:lang w:val="en-GB" w:eastAsia="en-US"/>
        </w:rPr>
      </w:pPr>
    </w:p>
    <w:p w14:paraId="4F09C8C4" w14:textId="75300449" w:rsidR="00343303" w:rsidRPr="00681C88" w:rsidRDefault="00481223" w:rsidP="00343303">
      <w:pPr>
        <w:spacing w:after="160" w:line="259" w:lineRule="auto"/>
        <w:jc w:val="both"/>
        <w:rPr>
          <w:rFonts w:eastAsia="Calibri"/>
          <w:lang w:val="en-GB" w:eastAsia="en-US"/>
        </w:rPr>
      </w:pPr>
      <w:r w:rsidRPr="00681C88">
        <w:rPr>
          <w:rFonts w:eastAsia="Calibri"/>
          <w:lang w:val="en-GB" w:eastAsia="en-US"/>
        </w:rPr>
        <w:t>For the purpose of RRFC calculation, t</w:t>
      </w:r>
      <w:r w:rsidR="001432AF" w:rsidRPr="00681C88">
        <w:rPr>
          <w:rFonts w:eastAsia="Calibri"/>
          <w:lang w:val="en-GB" w:eastAsia="en-US"/>
        </w:rPr>
        <w:t>he data on interest expenses of banks operating in BH</w:t>
      </w:r>
      <w:r w:rsidR="00343303" w:rsidRPr="00681C88">
        <w:rPr>
          <w:rFonts w:eastAsia="Calibri"/>
          <w:lang w:val="en-GB" w:eastAsia="en-US"/>
        </w:rPr>
        <w:t xml:space="preserve"> is compiled </w:t>
      </w:r>
      <w:r w:rsidR="001432AF" w:rsidRPr="00681C88">
        <w:rPr>
          <w:rFonts w:eastAsia="Calibri"/>
          <w:lang w:val="en-GB" w:eastAsia="en-US"/>
        </w:rPr>
        <w:t xml:space="preserve">for each quarter, </w:t>
      </w:r>
      <w:r w:rsidR="00C011CD" w:rsidRPr="00681C88">
        <w:rPr>
          <w:rFonts w:eastAsia="Calibri"/>
          <w:lang w:val="en-GB" w:eastAsia="en-US"/>
        </w:rPr>
        <w:t>on</w:t>
      </w:r>
      <w:r w:rsidR="001432AF" w:rsidRPr="00681C88">
        <w:rPr>
          <w:rFonts w:eastAsia="Calibri"/>
          <w:lang w:val="en-GB" w:eastAsia="en-US"/>
        </w:rPr>
        <w:t xml:space="preserve"> the main funding sources during the previous quarter </w:t>
      </w:r>
      <w:r w:rsidR="001432AF" w:rsidRPr="00681C88">
        <w:rPr>
          <w:rFonts w:eastAsia="Calibri"/>
          <w:lang w:val="en-GB" w:eastAsia="en-US"/>
        </w:rPr>
        <w:lastRenderedPageBreak/>
        <w:t>(hereinafter: the reference quarter)</w:t>
      </w:r>
      <w:r w:rsidRPr="00681C88">
        <w:rPr>
          <w:rFonts w:eastAsia="Calibri"/>
          <w:lang w:val="en-GB" w:eastAsia="en-US"/>
        </w:rPr>
        <w:t>, along with</w:t>
      </w:r>
      <w:r w:rsidR="001432AF" w:rsidRPr="00681C88">
        <w:rPr>
          <w:rFonts w:eastAsia="Calibri"/>
          <w:lang w:val="en-GB" w:eastAsia="en-US"/>
        </w:rPr>
        <w:t xml:space="preserve"> </w:t>
      </w:r>
      <w:r w:rsidRPr="00681C88">
        <w:rPr>
          <w:rFonts w:eastAsia="Calibri"/>
          <w:lang w:val="en-GB" w:eastAsia="en-US"/>
        </w:rPr>
        <w:t>t</w:t>
      </w:r>
      <w:r w:rsidR="001432AF" w:rsidRPr="00681C88">
        <w:rPr>
          <w:rFonts w:eastAsia="Calibri"/>
          <w:lang w:val="en-GB" w:eastAsia="en-US"/>
        </w:rPr>
        <w:t xml:space="preserve">he data on </w:t>
      </w:r>
      <w:r w:rsidRPr="00681C88">
        <w:rPr>
          <w:rFonts w:eastAsia="Calibri"/>
          <w:lang w:val="en-GB" w:eastAsia="en-US"/>
        </w:rPr>
        <w:t xml:space="preserve">the month-end </w:t>
      </w:r>
      <w:r w:rsidR="001432AF" w:rsidRPr="00681C88">
        <w:rPr>
          <w:rFonts w:eastAsia="Calibri"/>
          <w:lang w:val="en-GB" w:eastAsia="en-US"/>
        </w:rPr>
        <w:t>balances of the funding sources within the reference quarter which the interest expenses refer to</w:t>
      </w:r>
      <w:r w:rsidR="001C6D30" w:rsidRPr="00681C88">
        <w:rPr>
          <w:rFonts w:eastAsia="Calibri"/>
          <w:lang w:val="en-GB" w:eastAsia="en-US"/>
        </w:rPr>
        <w:t>,</w:t>
      </w:r>
      <w:r w:rsidR="00343303" w:rsidRPr="00681C88">
        <w:rPr>
          <w:rFonts w:eastAsia="Calibri"/>
          <w:lang w:val="en-GB" w:eastAsia="en-US"/>
        </w:rPr>
        <w:t xml:space="preserve"> and reported to the CBBH by the </w:t>
      </w:r>
      <w:r w:rsidR="00DD37E6" w:rsidRPr="00681C88">
        <w:rPr>
          <w:rFonts w:eastAsia="Calibri"/>
          <w:lang w:val="en-GB" w:eastAsia="en-US"/>
        </w:rPr>
        <w:t>FBA and BARS</w:t>
      </w:r>
      <w:r w:rsidR="00343303" w:rsidRPr="00681C88">
        <w:rPr>
          <w:rFonts w:eastAsia="Calibri"/>
          <w:lang w:val="en-GB" w:eastAsia="en-US"/>
        </w:rPr>
        <w:t>.</w:t>
      </w:r>
    </w:p>
    <w:p w14:paraId="0377B11A" w14:textId="6F168C1B" w:rsidR="001432AF" w:rsidRPr="00681C88" w:rsidRDefault="001432AF" w:rsidP="00343303">
      <w:pPr>
        <w:spacing w:after="160" w:line="259" w:lineRule="auto"/>
        <w:jc w:val="both"/>
        <w:rPr>
          <w:rFonts w:eastAsia="Calibri"/>
          <w:lang w:val="en-GB" w:eastAsia="en-US"/>
        </w:rPr>
      </w:pPr>
      <w:r w:rsidRPr="00681C88">
        <w:rPr>
          <w:rFonts w:eastAsia="Calibri"/>
          <w:lang w:val="en-GB" w:eastAsia="en-US"/>
        </w:rPr>
        <w:t xml:space="preserve">The main funding sources include financial liabilities allocated to the portfolio valued at amortized cost (gross principal of unsubordinated deposits and liabilities based on loans). Funding sources include resident and non-resident sectors. Subordinated debt, margin, hybrid and subordinated instruments, and any other capital instruments are not included in the coverage of instruments for the RRFC calculation.  </w:t>
      </w:r>
    </w:p>
    <w:p w14:paraId="21D1E6AC" w14:textId="71029313" w:rsidR="001432AF" w:rsidRPr="00681C88" w:rsidRDefault="001432AF" w:rsidP="001432AF">
      <w:pPr>
        <w:spacing w:after="160" w:line="240" w:lineRule="auto"/>
        <w:jc w:val="both"/>
        <w:rPr>
          <w:lang w:val="en-GB" w:eastAsia="en-US"/>
        </w:rPr>
      </w:pPr>
      <w:r w:rsidRPr="00681C88">
        <w:rPr>
          <w:lang w:val="en-GB" w:eastAsia="en-US"/>
        </w:rPr>
        <w:t xml:space="preserve">The scope of financial instruments depends on the coverage of individual RRFC. The funding coverage in Coverage 1 (Household deposits) and Coverage 2 (Deposits of households and non-financial companies) are limited to deposits. Household deposits include all deposits of natural persons/households and small business owners, whereas deposits of non-financial companies include deposits of government institutions, public companies, private companies and associations and non-profit organisations. Coverage 3 (all </w:t>
      </w:r>
      <w:r w:rsidR="005C2030" w:rsidRPr="00681C88">
        <w:rPr>
          <w:lang w:val="en-GB" w:eastAsia="en-US"/>
        </w:rPr>
        <w:t>interest-bearing</w:t>
      </w:r>
      <w:r w:rsidRPr="00681C88">
        <w:rPr>
          <w:lang w:val="en-GB" w:eastAsia="en-US"/>
        </w:rPr>
        <w:t xml:space="preserve"> sources from households, non-financial companies and financial institutions) include all household deposits, deposits of non-financial companies, deposits of financial institutions, taken loans and issued debt securities. Deposits of financial institutions include deposits of banking and non-banking financial institutions. Capital instruments are not included in the calculation of RRFC.</w:t>
      </w:r>
    </w:p>
    <w:p w14:paraId="0C8B1F1E" w14:textId="1826B4A1" w:rsidR="001432AF" w:rsidRPr="00681C88" w:rsidRDefault="001432AF" w:rsidP="001432AF">
      <w:pPr>
        <w:spacing w:after="160" w:line="240" w:lineRule="auto"/>
        <w:jc w:val="both"/>
        <w:rPr>
          <w:lang w:val="en-GB" w:eastAsia="en-US"/>
        </w:rPr>
      </w:pPr>
      <w:r w:rsidRPr="00681C88">
        <w:rPr>
          <w:lang w:val="en-GB" w:eastAsia="en-US"/>
        </w:rPr>
        <w:t>RRFCs are calculated for three types of coverage (Households, Households and non-financial companies and Households, non-financial companies and financial institutions) and two currencies (convertible mark and euro). Indicators for KM currency also apply to KM sources of bank funding contracted with currency indexation to EUR.</w:t>
      </w:r>
    </w:p>
    <w:p w14:paraId="50357214" w14:textId="4CB185B2" w:rsidR="001432AF" w:rsidRPr="00681C88" w:rsidRDefault="001432AF" w:rsidP="001432AF">
      <w:pPr>
        <w:spacing w:after="160" w:line="240" w:lineRule="auto"/>
        <w:jc w:val="both"/>
        <w:rPr>
          <w:lang w:val="en-GB" w:eastAsia="en-US"/>
        </w:rPr>
      </w:pPr>
      <w:r w:rsidRPr="00681C88">
        <w:rPr>
          <w:lang w:val="en-GB" w:eastAsia="en-US"/>
        </w:rPr>
        <w:t xml:space="preserve">RRFCs are calculated on the basis of monthly and quarterly historical data which banks </w:t>
      </w:r>
      <w:r w:rsidR="005C2030" w:rsidRPr="00681C88">
        <w:rPr>
          <w:lang w:val="en-GB" w:eastAsia="en-US"/>
        </w:rPr>
        <w:t>report</w:t>
      </w:r>
      <w:r w:rsidRPr="00681C88">
        <w:rPr>
          <w:lang w:val="en-GB" w:eastAsia="en-US"/>
        </w:rPr>
        <w:t xml:space="preserve"> quarterly to the FBA and BARS. For interest expenses, quarterly indicators for each individual bank are first calculated (by deducting the amount from the previous quarter of calculation from the amount at the end of the reporting period, except for the first quarter in the calendar year), and then, those quarterly indicators are summed up (aggregated). For funding source balances, the data are summed up (aggregated) for all the banks in one month. </w:t>
      </w:r>
    </w:p>
    <w:p w14:paraId="2D663B3D" w14:textId="77777777" w:rsidR="001432AF" w:rsidRPr="00681C88" w:rsidRDefault="001432AF" w:rsidP="001432AF">
      <w:pPr>
        <w:spacing w:after="160" w:line="240" w:lineRule="auto"/>
        <w:jc w:val="both"/>
        <w:rPr>
          <w:lang w:val="en-GB" w:eastAsia="en-US"/>
        </w:rPr>
      </w:pPr>
      <w:r w:rsidRPr="00681C88">
        <w:rPr>
          <w:lang w:val="en-GB" w:eastAsia="en-US"/>
        </w:rPr>
        <w:t>All the data are shown in absolute amounts, rounded off to two decimal places.</w:t>
      </w:r>
    </w:p>
    <w:p w14:paraId="45FB620F" w14:textId="062DFDA4" w:rsidR="001432AF" w:rsidRPr="00681C88" w:rsidRDefault="001432AF" w:rsidP="001432AF">
      <w:pPr>
        <w:spacing w:after="160" w:line="240" w:lineRule="auto"/>
        <w:jc w:val="both"/>
        <w:rPr>
          <w:lang w:val="en-GB" w:eastAsia="en-US"/>
        </w:rPr>
      </w:pPr>
      <w:r w:rsidRPr="00681C88">
        <w:rPr>
          <w:lang w:val="en-GB" w:eastAsia="en-US"/>
        </w:rPr>
        <w:t xml:space="preserve">For the </w:t>
      </w:r>
      <w:r w:rsidR="00681C88" w:rsidRPr="00681C88">
        <w:rPr>
          <w:lang w:val="en-GB" w:eastAsia="en-US"/>
        </w:rPr>
        <w:t>purposes</w:t>
      </w:r>
      <w:r w:rsidRPr="00681C88">
        <w:rPr>
          <w:lang w:val="en-GB" w:eastAsia="en-US"/>
        </w:rPr>
        <w:t xml:space="preserve"> of calculating RRCF, the data are used of all the banks licenced for operations by the competent Banking Agency, having operated during the entire reference quarter (from the first to the last day of the quarter), i.e. the calculation does not include the data of the banks which ceased or started their operations during the reference quarter (due to bankruptcy, liquidation, merger, acquisition etc.)</w:t>
      </w:r>
      <w:r w:rsidR="005C2030" w:rsidRPr="00681C88">
        <w:rPr>
          <w:lang w:val="en-GB" w:eastAsia="en-US"/>
        </w:rPr>
        <w:t>.</w:t>
      </w:r>
      <w:r w:rsidRPr="00681C88">
        <w:rPr>
          <w:lang w:val="en-GB" w:eastAsia="en-US"/>
        </w:rPr>
        <w:t xml:space="preserve">   </w:t>
      </w:r>
    </w:p>
    <w:p w14:paraId="57EDBD8D" w14:textId="77777777" w:rsidR="001432AF" w:rsidRPr="00681C88" w:rsidRDefault="001432AF" w:rsidP="001432AF">
      <w:pPr>
        <w:spacing w:after="160" w:line="240" w:lineRule="auto"/>
        <w:jc w:val="both"/>
        <w:rPr>
          <w:lang w:val="en-GB" w:eastAsia="en-US"/>
        </w:rPr>
      </w:pPr>
    </w:p>
    <w:p w14:paraId="568DBDD6" w14:textId="77777777" w:rsidR="001432AF" w:rsidRPr="00681C88" w:rsidRDefault="001432AF" w:rsidP="001432AF">
      <w:pPr>
        <w:spacing w:after="160" w:line="240" w:lineRule="auto"/>
        <w:jc w:val="both"/>
        <w:rPr>
          <w:lang w:val="en-GB" w:eastAsia="en-US"/>
        </w:rPr>
      </w:pPr>
      <w:r w:rsidRPr="00681C88">
        <w:rPr>
          <w:lang w:val="en-GB" w:eastAsia="en-US"/>
        </w:rPr>
        <w:t xml:space="preserve">Technical note on the calculation of indicators: </w:t>
      </w:r>
    </w:p>
    <w:p w14:paraId="16B89F00" w14:textId="77777777" w:rsidR="001432AF" w:rsidRPr="00681C88" w:rsidRDefault="001432AF" w:rsidP="001432AF">
      <w:pPr>
        <w:spacing w:line="240" w:lineRule="auto"/>
        <w:ind w:left="357"/>
        <w:jc w:val="both"/>
        <w:rPr>
          <w:lang w:val="en-GB" w:eastAsia="en-US"/>
        </w:rPr>
      </w:pPr>
    </w:p>
    <w:p w14:paraId="43B877D3" w14:textId="77777777" w:rsidR="001432AF" w:rsidRPr="00681C88" w:rsidRDefault="001432AF" w:rsidP="001432AF">
      <w:pPr>
        <w:spacing w:after="160" w:line="259" w:lineRule="auto"/>
        <w:rPr>
          <w:rFonts w:ascii="Calibri" w:eastAsia="Calibri" w:hAnsi="Calibri"/>
          <w:sz w:val="22"/>
          <w:szCs w:val="22"/>
          <w:lang w:val="en-GB" w:eastAsia="en-US"/>
        </w:rPr>
      </w:pPr>
    </w:p>
    <w:p w14:paraId="27F4BB11" w14:textId="77777777" w:rsidR="00EE4BFE" w:rsidRPr="00681C88" w:rsidRDefault="00EE4BFE">
      <w:pPr>
        <w:spacing w:line="240" w:lineRule="auto"/>
        <w:ind w:left="357"/>
        <w:jc w:val="both"/>
        <w:rPr>
          <w:noProof/>
          <w:lang w:val="en-GB" w:eastAsia="en-US"/>
        </w:rPr>
      </w:pPr>
    </w:p>
    <w:p w14:paraId="72B9426E" w14:textId="12F29F99" w:rsidR="00EE4BFE" w:rsidRPr="00681C88" w:rsidRDefault="00B86EDB">
      <w:pPr>
        <w:spacing w:after="160" w:line="259" w:lineRule="auto"/>
        <w:rPr>
          <w:rFonts w:ascii="Calibri" w:eastAsia="Calibri" w:hAnsi="Calibri"/>
          <w:sz w:val="22"/>
          <w:szCs w:val="22"/>
          <w:lang w:val="en-GB" w:eastAsia="en-US"/>
        </w:rPr>
      </w:pPr>
      <w:r w:rsidRPr="00681C88">
        <w:rPr>
          <w:rFonts w:eastAsia="Calibri"/>
          <w:noProof/>
          <w:lang w:val="en-GB"/>
        </w:rPr>
        <w:lastRenderedPageBreak/>
        <w:drawing>
          <wp:inline distT="0" distB="0" distL="0" distR="0" wp14:anchorId="11A596B6" wp14:editId="71195155">
            <wp:extent cx="5731510" cy="17106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10690"/>
                    </a:xfrm>
                    <a:prstGeom prst="rect">
                      <a:avLst/>
                    </a:prstGeom>
                    <a:noFill/>
                    <a:ln>
                      <a:noFill/>
                    </a:ln>
                  </pic:spPr>
                </pic:pic>
              </a:graphicData>
            </a:graphic>
          </wp:inline>
        </w:drawing>
      </w:r>
    </w:p>
    <w:p w14:paraId="6AE1AC47" w14:textId="77777777" w:rsidR="006C7731" w:rsidRPr="00681C88" w:rsidRDefault="006C7731">
      <w:pPr>
        <w:spacing w:line="240" w:lineRule="auto"/>
        <w:jc w:val="center"/>
        <w:rPr>
          <w:b/>
          <w:bCs/>
          <w:noProof/>
          <w:lang w:val="en-GB" w:eastAsia="en-US"/>
        </w:rPr>
      </w:pPr>
      <w:bookmarkStart w:id="2" w:name="_Hlk132890854"/>
    </w:p>
    <w:p w14:paraId="6E9B1222" w14:textId="28391811" w:rsidR="00EE4BFE" w:rsidRPr="00681C88" w:rsidRDefault="006122F1">
      <w:pPr>
        <w:spacing w:line="240" w:lineRule="auto"/>
        <w:jc w:val="center"/>
        <w:rPr>
          <w:b/>
          <w:bCs/>
          <w:noProof/>
          <w:lang w:val="en-GB" w:eastAsia="en-US"/>
        </w:rPr>
      </w:pPr>
      <w:r w:rsidRPr="00681C88">
        <w:rPr>
          <w:b/>
          <w:bCs/>
          <w:noProof/>
          <w:lang w:val="en-GB" w:eastAsia="en-US"/>
        </w:rPr>
        <w:t xml:space="preserve">Article </w:t>
      </w:r>
      <w:r w:rsidR="006C7731" w:rsidRPr="00681C88">
        <w:rPr>
          <w:b/>
          <w:bCs/>
          <w:noProof/>
          <w:lang w:val="en-GB" w:eastAsia="en-US"/>
        </w:rPr>
        <w:t>6</w:t>
      </w:r>
    </w:p>
    <w:p w14:paraId="4E138362" w14:textId="5EEE0D5B" w:rsidR="00EE4BFE" w:rsidRPr="00681C88" w:rsidRDefault="006C7731">
      <w:pPr>
        <w:spacing w:line="240" w:lineRule="auto"/>
        <w:jc w:val="center"/>
        <w:rPr>
          <w:b/>
          <w:bCs/>
          <w:noProof/>
          <w:lang w:val="en-GB" w:eastAsia="en-US"/>
        </w:rPr>
      </w:pPr>
      <w:r w:rsidRPr="00681C88">
        <w:rPr>
          <w:b/>
          <w:bCs/>
          <w:noProof/>
          <w:lang w:val="en-GB" w:eastAsia="en-US"/>
        </w:rPr>
        <w:t>(</w:t>
      </w:r>
      <w:r w:rsidR="006122F1" w:rsidRPr="00681C88">
        <w:rPr>
          <w:b/>
          <w:bCs/>
          <w:noProof/>
          <w:lang w:val="en-GB" w:eastAsia="en-US"/>
        </w:rPr>
        <w:t>Calculation of the RRFC</w:t>
      </w:r>
      <w:bookmarkEnd w:id="2"/>
      <w:r w:rsidRPr="00681C88">
        <w:rPr>
          <w:b/>
          <w:bCs/>
          <w:noProof/>
          <w:lang w:val="en-GB" w:eastAsia="en-US"/>
        </w:rPr>
        <w:t>)</w:t>
      </w:r>
    </w:p>
    <w:p w14:paraId="5DA42921" w14:textId="77777777" w:rsidR="00EE4BFE" w:rsidRPr="00681C88" w:rsidRDefault="00EE4BFE">
      <w:pPr>
        <w:spacing w:line="240" w:lineRule="auto"/>
        <w:jc w:val="center"/>
        <w:rPr>
          <w:b/>
          <w:bCs/>
          <w:noProof/>
          <w:lang w:val="en-GB" w:eastAsia="en-US"/>
        </w:rPr>
      </w:pPr>
    </w:p>
    <w:p w14:paraId="0419768C" w14:textId="77777777" w:rsidR="001432AF" w:rsidRPr="00681C88" w:rsidRDefault="001432AF" w:rsidP="001432AF">
      <w:pPr>
        <w:spacing w:after="160" w:line="240" w:lineRule="auto"/>
        <w:jc w:val="both"/>
        <w:rPr>
          <w:lang w:val="en-GB"/>
        </w:rPr>
      </w:pPr>
      <w:r w:rsidRPr="00681C88">
        <w:rPr>
          <w:lang w:val="en-GB"/>
        </w:rPr>
        <w:t>The RRFC for a particular currency, a certain coverage of sources of funds and the reference period to which the data refer, is calculated as follows:</w:t>
      </w:r>
    </w:p>
    <w:p w14:paraId="034B7C2B" w14:textId="77777777" w:rsidR="001432AF" w:rsidRPr="00681C88" w:rsidRDefault="001432AF" w:rsidP="001432AF">
      <w:pPr>
        <w:spacing w:after="160" w:line="240" w:lineRule="auto"/>
        <w:jc w:val="both"/>
        <w:rPr>
          <w:lang w:val="en-GB"/>
        </w:rPr>
      </w:pPr>
      <w:r w:rsidRPr="00681C88">
        <w:rPr>
          <w:lang w:val="en-GB"/>
        </w:rPr>
        <w:t>a) the total interest expense of all banks in the entire period is calculated with regard to that currency and coverage of sources of funds;</w:t>
      </w:r>
    </w:p>
    <w:p w14:paraId="01E73DEA" w14:textId="2C6BC0B5" w:rsidR="001432AF" w:rsidRPr="00681C88" w:rsidRDefault="001432AF" w:rsidP="001432AF">
      <w:pPr>
        <w:spacing w:after="160" w:line="240" w:lineRule="auto"/>
        <w:jc w:val="both"/>
        <w:rPr>
          <w:lang w:val="en-GB"/>
        </w:rPr>
      </w:pPr>
      <w:r w:rsidRPr="00681C88">
        <w:rPr>
          <w:lang w:val="en-GB"/>
        </w:rPr>
        <w:t xml:space="preserve">b) the average </w:t>
      </w:r>
      <w:r w:rsidR="007050BF" w:rsidRPr="00681C88">
        <w:rPr>
          <w:lang w:val="en-GB"/>
        </w:rPr>
        <w:t>balance</w:t>
      </w:r>
      <w:r w:rsidRPr="00681C88">
        <w:rPr>
          <w:lang w:val="en-GB"/>
        </w:rPr>
        <w:t xml:space="preserve"> of the main sources of </w:t>
      </w:r>
      <w:r w:rsidR="007050BF" w:rsidRPr="00681C88">
        <w:rPr>
          <w:lang w:val="en-GB"/>
        </w:rPr>
        <w:t>funding</w:t>
      </w:r>
      <w:r w:rsidRPr="00681C88">
        <w:rPr>
          <w:lang w:val="en-GB"/>
        </w:rPr>
        <w:t xml:space="preserve"> is calculated in the entire period with regard to that currency and coverage of sources of f</w:t>
      </w:r>
      <w:r w:rsidR="00E420D3" w:rsidRPr="00681C88">
        <w:rPr>
          <w:lang w:val="en-GB"/>
        </w:rPr>
        <w:t>unds</w:t>
      </w:r>
      <w:r w:rsidRPr="00681C88">
        <w:rPr>
          <w:lang w:val="en-GB"/>
        </w:rPr>
        <w:t>;</w:t>
      </w:r>
    </w:p>
    <w:p w14:paraId="1F3EE7A5" w14:textId="77777777" w:rsidR="001432AF" w:rsidRPr="00681C88" w:rsidRDefault="001432AF" w:rsidP="001432AF">
      <w:pPr>
        <w:spacing w:after="160" w:line="240" w:lineRule="auto"/>
        <w:jc w:val="both"/>
        <w:rPr>
          <w:lang w:val="en-GB"/>
        </w:rPr>
      </w:pPr>
      <w:r w:rsidRPr="00681C88">
        <w:rPr>
          <w:lang w:val="en-GB"/>
        </w:rPr>
        <w:t>c) the ratio of the previously calculated total interest expense and the average balance of the source of funds is calculated, and this ratio is divided by the total number of days in the entire period and multiplied by 365 (or 366 if the reference period includes February of the leap year), in order to obtain the RRFC expressed on an annual basis.</w:t>
      </w:r>
    </w:p>
    <w:p w14:paraId="4B4960CE" w14:textId="77777777" w:rsidR="001432AF" w:rsidRPr="00681C88" w:rsidRDefault="001432AF" w:rsidP="001432AF">
      <w:pPr>
        <w:spacing w:after="160" w:line="240" w:lineRule="auto"/>
        <w:jc w:val="both"/>
        <w:rPr>
          <w:lang w:val="en-GB"/>
        </w:rPr>
      </w:pPr>
      <w:r w:rsidRPr="00681C88">
        <w:rPr>
          <w:lang w:val="en-GB"/>
        </w:rPr>
        <w:t>The rate expressed as a percentage is obtained when the calculated RRFC under c) is multiplied by 100.</w:t>
      </w:r>
    </w:p>
    <w:p w14:paraId="5A9E6579" w14:textId="5913960D" w:rsidR="00EE4BFE" w:rsidRPr="00681C88" w:rsidRDefault="001432AF" w:rsidP="001432AF">
      <w:pPr>
        <w:spacing w:after="160" w:line="240" w:lineRule="auto"/>
        <w:jc w:val="both"/>
        <w:rPr>
          <w:rFonts w:eastAsia="Calibri"/>
          <w:noProof/>
          <w:lang w:val="en-GB" w:eastAsia="en-US"/>
        </w:rPr>
      </w:pPr>
      <w:r w:rsidRPr="00681C88">
        <w:rPr>
          <w:lang w:val="en-GB"/>
        </w:rPr>
        <w:t>RRFC is calculated according to the following generic formula</w:t>
      </w:r>
      <w:r w:rsidR="006C7731" w:rsidRPr="00681C88">
        <w:rPr>
          <w:rFonts w:eastAsia="Calibri"/>
          <w:noProof/>
          <w:lang w:val="en-GB" w:eastAsia="en-US"/>
        </w:rPr>
        <w:t>:</w:t>
      </w:r>
    </w:p>
    <w:p w14:paraId="09A7C800" w14:textId="77777777" w:rsidR="00EE4BFE" w:rsidRPr="00681C88" w:rsidRDefault="00EE4BFE">
      <w:pPr>
        <w:spacing w:after="160" w:line="240" w:lineRule="auto"/>
        <w:ind w:left="360"/>
        <w:contextualSpacing/>
        <w:jc w:val="both"/>
        <w:rPr>
          <w:rFonts w:eastAsia="Calibri"/>
          <w:noProof/>
          <w:lang w:val="en-GB" w:eastAsia="en-US"/>
        </w:rPr>
      </w:pPr>
    </w:p>
    <w:p w14:paraId="04B050D7" w14:textId="2C9772F5" w:rsidR="00EE4BFE" w:rsidRPr="00681C88" w:rsidRDefault="003F08B9">
      <w:pPr>
        <w:spacing w:after="160" w:line="240" w:lineRule="auto"/>
        <w:ind w:left="360"/>
        <w:contextualSpacing/>
        <w:jc w:val="both"/>
        <w:rPr>
          <w:rFonts w:eastAsia="Calibri"/>
          <w:noProof/>
          <w:lang w:val="en-GB" w:eastAsia="en-US"/>
        </w:rPr>
      </w:pPr>
      <w:r w:rsidRPr="00681C88">
        <w:rPr>
          <w:rFonts w:eastAsia="Calibri"/>
          <w:noProof/>
          <w:lang w:val="en-GB"/>
        </w:rPr>
        <w:drawing>
          <wp:inline distT="0" distB="0" distL="0" distR="0" wp14:anchorId="62B49537" wp14:editId="063B50CD">
            <wp:extent cx="5467350"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600075"/>
                    </a:xfrm>
                    <a:prstGeom prst="rect">
                      <a:avLst/>
                    </a:prstGeom>
                    <a:noFill/>
                    <a:ln>
                      <a:noFill/>
                    </a:ln>
                  </pic:spPr>
                </pic:pic>
              </a:graphicData>
            </a:graphic>
          </wp:inline>
        </w:drawing>
      </w:r>
    </w:p>
    <w:p w14:paraId="7B19FB5A" w14:textId="77777777" w:rsidR="00EE4BFE" w:rsidRPr="00681C88" w:rsidRDefault="00EE4BFE">
      <w:pPr>
        <w:spacing w:after="160" w:line="259" w:lineRule="auto"/>
        <w:jc w:val="both"/>
        <w:rPr>
          <w:rFonts w:eastAsia="Calibri"/>
          <w:noProof/>
          <w:lang w:val="en-GB" w:eastAsia="en-US"/>
        </w:rPr>
      </w:pPr>
    </w:p>
    <w:p w14:paraId="2ECCB531" w14:textId="411EF546" w:rsidR="00EE4BFE" w:rsidRPr="00681C88" w:rsidRDefault="00CB05A2">
      <w:pPr>
        <w:spacing w:after="160" w:line="259" w:lineRule="auto"/>
        <w:jc w:val="both"/>
        <w:rPr>
          <w:rFonts w:eastAsia="Calibri"/>
          <w:noProof/>
          <w:lang w:val="en-GB" w:eastAsia="en-US"/>
        </w:rPr>
      </w:pPr>
      <w:r w:rsidRPr="00681C88">
        <w:rPr>
          <w:rFonts w:eastAsia="Calibri"/>
          <w:noProof/>
          <w:lang w:val="en-GB" w:eastAsia="en-US"/>
        </w:rPr>
        <w:t>With the letters representing</w:t>
      </w:r>
      <w:r w:rsidR="006C7731" w:rsidRPr="00681C88">
        <w:rPr>
          <w:rFonts w:eastAsia="Calibri"/>
          <w:noProof/>
          <w:lang w:val="en-GB" w:eastAsia="en-US"/>
        </w:rPr>
        <w:t xml:space="preserve">: </w:t>
      </w:r>
    </w:p>
    <w:p w14:paraId="7E4FD843" w14:textId="6458D26E" w:rsidR="00EE4BFE" w:rsidRPr="00681C88" w:rsidRDefault="006C7731">
      <w:pPr>
        <w:spacing w:after="160" w:line="240" w:lineRule="auto"/>
        <w:contextualSpacing/>
        <w:jc w:val="both"/>
        <w:rPr>
          <w:rFonts w:eastAsia="Calibri"/>
          <w:noProof/>
          <w:lang w:val="en-GB" w:eastAsia="en-US"/>
        </w:rPr>
      </w:pPr>
      <w:r w:rsidRPr="00681C88">
        <w:rPr>
          <w:rFonts w:eastAsia="Calibri"/>
          <w:noProof/>
          <w:lang w:val="en-GB" w:eastAsia="en-US"/>
        </w:rPr>
        <w:t xml:space="preserve">N </w:t>
      </w:r>
      <w:r w:rsidR="00C20BA7" w:rsidRPr="00681C88">
        <w:rPr>
          <w:rFonts w:eastAsia="Calibri"/>
          <w:bCs/>
          <w:noProof/>
          <w:lang w:val="en-GB" w:eastAsia="en-US"/>
        </w:rPr>
        <w:t>‒</w:t>
      </w:r>
      <w:r w:rsidRPr="00681C88">
        <w:rPr>
          <w:rFonts w:eastAsia="Calibri"/>
          <w:noProof/>
          <w:lang w:val="en-GB" w:eastAsia="en-US"/>
        </w:rPr>
        <w:t xml:space="preserve"> </w:t>
      </w:r>
      <w:r w:rsidR="00CB05A2" w:rsidRPr="00681C88">
        <w:rPr>
          <w:rFonts w:eastAsia="Calibri"/>
          <w:noProof/>
          <w:lang w:val="en-GB" w:eastAsia="en-US"/>
        </w:rPr>
        <w:t>number of months for which the</w:t>
      </w:r>
      <w:r w:rsidRPr="00681C88">
        <w:rPr>
          <w:rFonts w:eastAsia="Calibri"/>
          <w:noProof/>
          <w:lang w:val="en-GB" w:eastAsia="en-US"/>
        </w:rPr>
        <w:t xml:space="preserve"> </w:t>
      </w:r>
      <w:r w:rsidR="006122F1" w:rsidRPr="00681C88">
        <w:rPr>
          <w:rFonts w:eastAsia="Calibri"/>
          <w:noProof/>
          <w:lang w:val="en-GB" w:eastAsia="en-US"/>
        </w:rPr>
        <w:t>RRFC</w:t>
      </w:r>
      <w:r w:rsidR="00CB05A2" w:rsidRPr="00681C88">
        <w:rPr>
          <w:rFonts w:eastAsia="Calibri"/>
          <w:noProof/>
          <w:lang w:val="en-GB" w:eastAsia="en-US"/>
        </w:rPr>
        <w:t xml:space="preserve"> is calculated (3, 6 or</w:t>
      </w:r>
      <w:r w:rsidRPr="00681C88">
        <w:rPr>
          <w:rFonts w:eastAsia="Calibri"/>
          <w:noProof/>
          <w:lang w:val="en-GB" w:eastAsia="en-US"/>
        </w:rPr>
        <w:t xml:space="preserve"> 12), </w:t>
      </w:r>
    </w:p>
    <w:p w14:paraId="58287CC6" w14:textId="5C7082AB" w:rsidR="00EE4BFE" w:rsidRPr="00681C88" w:rsidRDefault="00FD4CDB">
      <w:pPr>
        <w:spacing w:after="160" w:line="240" w:lineRule="auto"/>
        <w:contextualSpacing/>
        <w:jc w:val="both"/>
        <w:rPr>
          <w:rFonts w:eastAsia="Calibri"/>
          <w:noProof/>
          <w:lang w:val="en-GB" w:eastAsia="en-US"/>
        </w:rPr>
      </w:pPr>
      <w:r w:rsidRPr="00681C88">
        <w:rPr>
          <w:rFonts w:eastAsia="Calibri"/>
          <w:noProof/>
          <w:lang w:val="en-GB" w:eastAsia="en-US"/>
        </w:rPr>
        <w:t>C</w:t>
      </w:r>
      <w:r w:rsidR="006C7731" w:rsidRPr="00681C88">
        <w:rPr>
          <w:rFonts w:eastAsia="Calibri"/>
          <w:noProof/>
          <w:lang w:val="en-GB" w:eastAsia="en-US"/>
        </w:rPr>
        <w:t xml:space="preserve"> </w:t>
      </w:r>
      <w:r w:rsidR="00C20BA7" w:rsidRPr="00681C88">
        <w:rPr>
          <w:rFonts w:eastAsia="Calibri"/>
          <w:bCs/>
          <w:noProof/>
          <w:lang w:val="en-GB" w:eastAsia="en-US"/>
        </w:rPr>
        <w:t>‒</w:t>
      </w:r>
      <w:r w:rsidR="00E420D3" w:rsidRPr="00681C88">
        <w:rPr>
          <w:rFonts w:eastAsia="Calibri"/>
          <w:noProof/>
          <w:lang w:val="en-GB" w:eastAsia="en-US"/>
        </w:rPr>
        <w:t xml:space="preserve"> coverage of funds </w:t>
      </w:r>
      <w:r w:rsidR="00CB05A2" w:rsidRPr="00681C88">
        <w:rPr>
          <w:rFonts w:eastAsia="Calibri"/>
          <w:noProof/>
          <w:lang w:val="en-GB" w:eastAsia="en-US"/>
        </w:rPr>
        <w:t>sources and costs</w:t>
      </w:r>
      <w:r w:rsidR="006C7731" w:rsidRPr="00681C88">
        <w:rPr>
          <w:rFonts w:eastAsia="Calibri"/>
          <w:noProof/>
          <w:lang w:val="en-GB" w:eastAsia="en-US"/>
        </w:rPr>
        <w:t xml:space="preserve"> </w:t>
      </w:r>
      <w:r w:rsidR="00CB05A2" w:rsidRPr="00681C88">
        <w:rPr>
          <w:rFonts w:eastAsia="Calibri"/>
          <w:noProof/>
          <w:lang w:val="en-GB" w:eastAsia="en-US"/>
        </w:rPr>
        <w:t>(1, 2 or</w:t>
      </w:r>
      <w:r w:rsidR="006C7731" w:rsidRPr="00681C88">
        <w:rPr>
          <w:rFonts w:eastAsia="Calibri"/>
          <w:noProof/>
          <w:lang w:val="en-GB" w:eastAsia="en-US"/>
        </w:rPr>
        <w:t xml:space="preserve"> 3), </w:t>
      </w:r>
    </w:p>
    <w:p w14:paraId="24478A47" w14:textId="55068146" w:rsidR="00EE4BFE" w:rsidRPr="00681C88" w:rsidRDefault="00FD4CDB">
      <w:pPr>
        <w:spacing w:after="160" w:line="240" w:lineRule="auto"/>
        <w:contextualSpacing/>
        <w:jc w:val="both"/>
        <w:rPr>
          <w:rFonts w:eastAsia="Calibri"/>
          <w:noProof/>
          <w:lang w:val="en-GB" w:eastAsia="en-US"/>
        </w:rPr>
      </w:pPr>
      <w:r w:rsidRPr="00681C88">
        <w:rPr>
          <w:rFonts w:eastAsia="Calibri"/>
          <w:noProof/>
          <w:lang w:val="en-GB" w:eastAsia="en-US"/>
        </w:rPr>
        <w:t>C</w:t>
      </w:r>
      <w:r w:rsidR="006C7731" w:rsidRPr="00681C88">
        <w:rPr>
          <w:rFonts w:eastAsia="Calibri"/>
          <w:noProof/>
          <w:lang w:val="en-GB" w:eastAsia="en-US"/>
        </w:rPr>
        <w:t xml:space="preserve"> </w:t>
      </w:r>
      <w:r w:rsidR="00C20BA7" w:rsidRPr="00681C88">
        <w:rPr>
          <w:rFonts w:eastAsia="Calibri"/>
          <w:bCs/>
          <w:noProof/>
          <w:lang w:val="en-GB" w:eastAsia="en-US"/>
        </w:rPr>
        <w:t>‒</w:t>
      </w:r>
      <w:r w:rsidR="00CB05A2" w:rsidRPr="00681C88">
        <w:rPr>
          <w:rFonts w:eastAsia="Calibri"/>
          <w:noProof/>
          <w:lang w:val="en-GB" w:eastAsia="en-US"/>
        </w:rPr>
        <w:t xml:space="preserve"> currency of </w:t>
      </w:r>
      <w:r w:rsidR="00E420D3" w:rsidRPr="00681C88">
        <w:rPr>
          <w:rFonts w:eastAsia="Calibri"/>
          <w:noProof/>
          <w:lang w:val="en-GB" w:eastAsia="en-US"/>
        </w:rPr>
        <w:t xml:space="preserve">funds </w:t>
      </w:r>
      <w:r w:rsidR="00CB05A2" w:rsidRPr="00681C88">
        <w:rPr>
          <w:rFonts w:eastAsia="Calibri"/>
          <w:noProof/>
          <w:lang w:val="en-GB" w:eastAsia="en-US"/>
        </w:rPr>
        <w:t>sources and costs (KM or</w:t>
      </w:r>
      <w:r w:rsidR="006C7731" w:rsidRPr="00681C88">
        <w:rPr>
          <w:rFonts w:eastAsia="Calibri"/>
          <w:noProof/>
          <w:lang w:val="en-GB" w:eastAsia="en-US"/>
        </w:rPr>
        <w:t xml:space="preserve"> EUR)</w:t>
      </w:r>
      <w:r w:rsidR="00C20BA7" w:rsidRPr="00681C88">
        <w:rPr>
          <w:rFonts w:eastAsia="Calibri"/>
          <w:noProof/>
          <w:lang w:val="en-GB" w:eastAsia="en-US"/>
        </w:rPr>
        <w:t>,</w:t>
      </w:r>
    </w:p>
    <w:p w14:paraId="6790912B" w14:textId="48A917F8" w:rsidR="00EE4BFE" w:rsidRPr="00681C88" w:rsidRDefault="00CB05A2">
      <w:pPr>
        <w:spacing w:after="160" w:line="240" w:lineRule="auto"/>
        <w:contextualSpacing/>
        <w:jc w:val="both"/>
        <w:rPr>
          <w:rFonts w:eastAsia="Calibri"/>
          <w:noProof/>
          <w:lang w:val="en-GB" w:eastAsia="en-US"/>
        </w:rPr>
      </w:pPr>
      <w:r w:rsidRPr="00681C88">
        <w:rPr>
          <w:rFonts w:eastAsia="Calibri"/>
          <w:noProof/>
          <w:lang w:val="en-GB" w:eastAsia="en-US"/>
        </w:rPr>
        <w:t>Avera</w:t>
      </w:r>
      <w:r w:rsidR="00CA5D62" w:rsidRPr="00681C88">
        <w:rPr>
          <w:rFonts w:eastAsia="Calibri"/>
          <w:noProof/>
          <w:lang w:val="en-GB" w:eastAsia="en-US"/>
        </w:rPr>
        <w:t>g</w:t>
      </w:r>
      <w:r w:rsidR="00E420D3" w:rsidRPr="00681C88">
        <w:rPr>
          <w:rFonts w:eastAsia="Calibri"/>
          <w:noProof/>
          <w:lang w:val="en-GB" w:eastAsia="en-US"/>
        </w:rPr>
        <w:t xml:space="preserve">e balance of  funds </w:t>
      </w:r>
      <w:r w:rsidRPr="00681C88">
        <w:rPr>
          <w:rFonts w:eastAsia="Calibri"/>
          <w:noProof/>
          <w:lang w:val="en-GB" w:eastAsia="en-US"/>
        </w:rPr>
        <w:t>sources</w:t>
      </w:r>
      <w:r w:rsidR="00C20BA7" w:rsidRPr="00681C88">
        <w:rPr>
          <w:rFonts w:eastAsia="Calibri"/>
          <w:noProof/>
          <w:lang w:val="en-GB" w:eastAsia="en-US"/>
        </w:rPr>
        <w:t xml:space="preserve"> </w:t>
      </w:r>
      <w:r w:rsidR="00C20BA7" w:rsidRPr="00681C88">
        <w:rPr>
          <w:rFonts w:eastAsia="Calibri"/>
          <w:bCs/>
          <w:noProof/>
          <w:lang w:val="en-GB" w:eastAsia="en-US"/>
        </w:rPr>
        <w:t>‒</w:t>
      </w:r>
      <w:r w:rsidR="006C7731" w:rsidRPr="00681C88">
        <w:rPr>
          <w:rFonts w:eastAsia="Calibri"/>
          <w:noProof/>
          <w:lang w:val="en-GB" w:eastAsia="en-US"/>
        </w:rPr>
        <w:t xml:space="preserve"> a</w:t>
      </w:r>
      <w:r w:rsidRPr="00681C88">
        <w:rPr>
          <w:rFonts w:eastAsia="Calibri"/>
          <w:noProof/>
          <w:lang w:val="en-GB" w:eastAsia="en-US"/>
        </w:rPr>
        <w:t>rtimethic mean of relevant data (</w:t>
      </w:r>
      <w:r w:rsidR="00E420D3" w:rsidRPr="00681C88">
        <w:rPr>
          <w:rFonts w:eastAsia="Calibri"/>
          <w:noProof/>
          <w:lang w:val="en-GB" w:eastAsia="en-US"/>
        </w:rPr>
        <w:t xml:space="preserve">the </w:t>
      </w:r>
      <w:r w:rsidRPr="00681C88">
        <w:rPr>
          <w:rFonts w:eastAsia="Calibri"/>
          <w:noProof/>
          <w:lang w:val="en-GB" w:eastAsia="en-US"/>
        </w:rPr>
        <w:t xml:space="preserve">last </w:t>
      </w:r>
      <w:r w:rsidR="006C7731" w:rsidRPr="00681C88">
        <w:rPr>
          <w:rFonts w:eastAsia="Calibri"/>
          <w:noProof/>
          <w:lang w:val="en-GB" w:eastAsia="en-US"/>
        </w:rPr>
        <w:t>N m</w:t>
      </w:r>
      <w:r w:rsidRPr="00681C88">
        <w:rPr>
          <w:rFonts w:eastAsia="Calibri"/>
          <w:noProof/>
          <w:lang w:val="en-GB" w:eastAsia="en-US"/>
        </w:rPr>
        <w:t>onths</w:t>
      </w:r>
      <w:r w:rsidR="006C7731" w:rsidRPr="00681C88">
        <w:rPr>
          <w:rFonts w:eastAsia="Calibri"/>
          <w:noProof/>
          <w:lang w:val="en-GB" w:eastAsia="en-US"/>
        </w:rPr>
        <w:t xml:space="preserve">), </w:t>
      </w:r>
    </w:p>
    <w:p w14:paraId="301E147C" w14:textId="482492EC" w:rsidR="00EE4BFE" w:rsidRPr="00681C88" w:rsidRDefault="00CB05A2">
      <w:pPr>
        <w:spacing w:after="160" w:line="240" w:lineRule="auto"/>
        <w:contextualSpacing/>
        <w:jc w:val="both"/>
        <w:rPr>
          <w:rFonts w:eastAsia="Calibri"/>
          <w:noProof/>
          <w:lang w:val="en-GB" w:eastAsia="en-US"/>
        </w:rPr>
      </w:pPr>
      <w:r w:rsidRPr="00681C88">
        <w:rPr>
          <w:rFonts w:eastAsia="Calibri"/>
          <w:noProof/>
          <w:lang w:val="en-GB" w:eastAsia="en-US"/>
        </w:rPr>
        <w:t>Total funds</w:t>
      </w:r>
      <w:r w:rsidR="00C20BA7" w:rsidRPr="00681C88">
        <w:rPr>
          <w:rFonts w:eastAsia="Calibri"/>
          <w:noProof/>
          <w:lang w:val="en-GB" w:eastAsia="en-US"/>
        </w:rPr>
        <w:t xml:space="preserve"> </w:t>
      </w:r>
      <w:r w:rsidR="00C20BA7" w:rsidRPr="00681C88">
        <w:rPr>
          <w:rFonts w:eastAsia="Calibri"/>
          <w:bCs/>
          <w:noProof/>
          <w:lang w:val="en-GB" w:eastAsia="en-US"/>
        </w:rPr>
        <w:t>‒</w:t>
      </w:r>
      <w:r w:rsidR="006C7731" w:rsidRPr="00681C88">
        <w:rPr>
          <w:rFonts w:eastAsia="Calibri"/>
          <w:noProof/>
          <w:lang w:val="en-GB" w:eastAsia="en-US"/>
        </w:rPr>
        <w:t xml:space="preserve"> </w:t>
      </w:r>
      <w:r w:rsidR="001432AF" w:rsidRPr="00681C88">
        <w:rPr>
          <w:rFonts w:eastAsia="Calibri"/>
          <w:noProof/>
          <w:lang w:val="en-GB" w:eastAsia="en-US"/>
        </w:rPr>
        <w:t>sum of relavant data (the last</w:t>
      </w:r>
      <w:r w:rsidR="006C7731" w:rsidRPr="00681C88">
        <w:rPr>
          <w:rFonts w:eastAsia="Calibri"/>
          <w:noProof/>
          <w:lang w:val="en-GB" w:eastAsia="en-US"/>
        </w:rPr>
        <w:t xml:space="preserve"> N/3 </w:t>
      </w:r>
      <w:r w:rsidR="001432AF" w:rsidRPr="00681C88">
        <w:rPr>
          <w:rFonts w:eastAsia="Calibri"/>
          <w:noProof/>
          <w:lang w:val="en-GB" w:eastAsia="en-US"/>
        </w:rPr>
        <w:t>quarter</w:t>
      </w:r>
      <w:r w:rsidR="006C7731" w:rsidRPr="00681C88">
        <w:rPr>
          <w:rFonts w:eastAsia="Calibri"/>
          <w:noProof/>
          <w:lang w:val="en-GB" w:eastAsia="en-US"/>
        </w:rPr>
        <w:t xml:space="preserve">) </w:t>
      </w:r>
      <w:r w:rsidR="001432AF" w:rsidRPr="00681C88">
        <w:rPr>
          <w:rFonts w:eastAsia="Calibri"/>
          <w:noProof/>
          <w:lang w:val="en-GB" w:eastAsia="en-US"/>
        </w:rPr>
        <w:t>from profit and loss account</w:t>
      </w:r>
      <w:r w:rsidR="006C7731" w:rsidRPr="00681C88">
        <w:rPr>
          <w:rFonts w:eastAsia="Calibri"/>
          <w:noProof/>
          <w:lang w:val="en-GB" w:eastAsia="en-US"/>
        </w:rPr>
        <w:t xml:space="preserve">, </w:t>
      </w:r>
    </w:p>
    <w:p w14:paraId="0D04A82D" w14:textId="4F73833B" w:rsidR="00EE4BFE" w:rsidRPr="00681C88" w:rsidRDefault="00CB05A2">
      <w:pPr>
        <w:spacing w:after="160" w:line="240" w:lineRule="auto"/>
        <w:jc w:val="both"/>
        <w:rPr>
          <w:rFonts w:eastAsia="Calibri"/>
          <w:noProof/>
          <w:lang w:val="en-GB" w:eastAsia="en-US"/>
        </w:rPr>
      </w:pPr>
      <w:r w:rsidRPr="00681C88">
        <w:rPr>
          <w:rFonts w:eastAsia="Calibri"/>
          <w:noProof/>
          <w:lang w:val="en-GB" w:eastAsia="en-US"/>
        </w:rPr>
        <w:t>Number of days</w:t>
      </w:r>
      <w:r w:rsidR="006C7731" w:rsidRPr="00681C88">
        <w:rPr>
          <w:rFonts w:eastAsia="Calibri"/>
          <w:noProof/>
          <w:lang w:val="en-GB" w:eastAsia="en-US"/>
        </w:rPr>
        <w:t xml:space="preserve"> (N) </w:t>
      </w:r>
      <w:r w:rsidR="00C20BA7" w:rsidRPr="00681C88">
        <w:rPr>
          <w:rFonts w:eastAsia="Calibri"/>
          <w:bCs/>
          <w:noProof/>
          <w:lang w:val="en-GB" w:eastAsia="en-US"/>
        </w:rPr>
        <w:t>‒</w:t>
      </w:r>
      <w:r w:rsidR="006C7731" w:rsidRPr="00681C88">
        <w:rPr>
          <w:rFonts w:eastAsia="Calibri"/>
          <w:noProof/>
          <w:lang w:val="en-GB" w:eastAsia="en-US"/>
        </w:rPr>
        <w:t xml:space="preserve"> </w:t>
      </w:r>
      <w:r w:rsidR="001432AF" w:rsidRPr="00681C88">
        <w:rPr>
          <w:rFonts w:eastAsia="Calibri"/>
          <w:noProof/>
          <w:lang w:val="en-GB" w:eastAsia="en-US"/>
        </w:rPr>
        <w:t>real number of days in the last</w:t>
      </w:r>
      <w:r w:rsidR="006C7731" w:rsidRPr="00681C88">
        <w:rPr>
          <w:rFonts w:eastAsia="Calibri"/>
          <w:noProof/>
          <w:lang w:val="en-GB" w:eastAsia="en-US"/>
        </w:rPr>
        <w:t xml:space="preserve"> N </w:t>
      </w:r>
      <w:r w:rsidR="001432AF" w:rsidRPr="00681C88">
        <w:rPr>
          <w:rFonts w:eastAsia="Calibri"/>
          <w:noProof/>
          <w:lang w:val="en-GB" w:eastAsia="en-US"/>
        </w:rPr>
        <w:t>months</w:t>
      </w:r>
      <w:r w:rsidR="006C7731" w:rsidRPr="00681C88">
        <w:rPr>
          <w:rFonts w:eastAsia="Calibri"/>
          <w:noProof/>
          <w:lang w:val="en-GB" w:eastAsia="en-US"/>
        </w:rPr>
        <w:t>.</w:t>
      </w:r>
    </w:p>
    <w:p w14:paraId="06B472A2" w14:textId="15A30D2F" w:rsidR="00EE4BFE" w:rsidRPr="00681C88" w:rsidRDefault="001432AF">
      <w:pPr>
        <w:spacing w:after="160" w:line="240" w:lineRule="auto"/>
        <w:jc w:val="both"/>
        <w:rPr>
          <w:rFonts w:eastAsia="Calibri"/>
          <w:noProof/>
          <w:lang w:val="en-GB" w:eastAsia="en-US"/>
        </w:rPr>
      </w:pPr>
      <w:r w:rsidRPr="00681C88">
        <w:rPr>
          <w:rFonts w:eastAsia="Calibri"/>
          <w:noProof/>
          <w:lang w:val="en-GB" w:eastAsia="en-US"/>
        </w:rPr>
        <w:t xml:space="preserve">Calcualtion of </w:t>
      </w:r>
      <w:r w:rsidR="006C7731" w:rsidRPr="00681C88">
        <w:rPr>
          <w:rFonts w:eastAsia="Calibri"/>
          <w:noProof/>
          <w:lang w:val="en-GB" w:eastAsia="en-US"/>
        </w:rPr>
        <w:t xml:space="preserve"> </w:t>
      </w:r>
      <w:r w:rsidR="006122F1" w:rsidRPr="00681C88">
        <w:rPr>
          <w:rFonts w:eastAsia="Calibri"/>
          <w:noProof/>
          <w:lang w:val="en-GB" w:eastAsia="en-US"/>
        </w:rPr>
        <w:t xml:space="preserve">RRFC </w:t>
      </w:r>
      <w:r w:rsidRPr="00681C88">
        <w:rPr>
          <w:rFonts w:eastAsia="Calibri"/>
          <w:noProof/>
          <w:lang w:val="en-GB" w:eastAsia="en-US"/>
        </w:rPr>
        <w:t>is done by implementing the real number of days</w:t>
      </w:r>
      <w:r w:rsidR="006C7731" w:rsidRPr="00681C88">
        <w:rPr>
          <w:rFonts w:eastAsia="Calibri"/>
          <w:noProof/>
          <w:lang w:val="en-GB" w:eastAsia="en-US"/>
        </w:rPr>
        <w:t xml:space="preserve"> </w:t>
      </w:r>
      <w:r w:rsidRPr="00681C88">
        <w:rPr>
          <w:rFonts w:eastAsia="Calibri"/>
          <w:noProof/>
          <w:lang w:val="en-GB" w:eastAsia="en-US"/>
        </w:rPr>
        <w:t>convention</w:t>
      </w:r>
      <w:r w:rsidR="006C7731" w:rsidRPr="00681C88">
        <w:rPr>
          <w:rFonts w:eastAsia="Calibri"/>
          <w:noProof/>
          <w:lang w:val="en-GB" w:eastAsia="en-US"/>
        </w:rPr>
        <w:t>,</w:t>
      </w:r>
      <w:r w:rsidRPr="00681C88">
        <w:rPr>
          <w:rFonts w:eastAsia="Calibri"/>
          <w:noProof/>
          <w:lang w:val="en-GB" w:eastAsia="en-US"/>
        </w:rPr>
        <w:t xml:space="preserve"> and in each step of the calculation, all number</w:t>
      </w:r>
      <w:r w:rsidR="00E420D3" w:rsidRPr="00681C88">
        <w:rPr>
          <w:rFonts w:eastAsia="Calibri"/>
          <w:noProof/>
          <w:lang w:val="en-GB" w:eastAsia="en-US"/>
        </w:rPr>
        <w:t>s</w:t>
      </w:r>
      <w:r w:rsidRPr="00681C88">
        <w:rPr>
          <w:rFonts w:eastAsia="Calibri"/>
          <w:noProof/>
          <w:lang w:val="en-GB" w:eastAsia="en-US"/>
        </w:rPr>
        <w:t xml:space="preserve"> are </w:t>
      </w:r>
      <w:r w:rsidR="0059704F" w:rsidRPr="00681C88">
        <w:rPr>
          <w:rFonts w:eastAsia="Calibri"/>
          <w:noProof/>
          <w:lang w:val="en-GB" w:eastAsia="en-US"/>
        </w:rPr>
        <w:t>rounded to</w:t>
      </w:r>
      <w:r w:rsidRPr="00681C88">
        <w:rPr>
          <w:rFonts w:eastAsia="Calibri"/>
          <w:noProof/>
          <w:lang w:val="en-GB" w:eastAsia="en-US"/>
        </w:rPr>
        <w:t xml:space="preserve"> two decimals. In order to obtain the rate in percentage</w:t>
      </w:r>
      <w:r w:rsidR="006C7731" w:rsidRPr="00681C88">
        <w:rPr>
          <w:rFonts w:eastAsia="Calibri"/>
          <w:noProof/>
          <w:lang w:val="en-GB" w:eastAsia="en-US"/>
        </w:rPr>
        <w:t xml:space="preserve"> </w:t>
      </w:r>
      <w:r w:rsidRPr="00681C88">
        <w:rPr>
          <w:rFonts w:eastAsia="Calibri"/>
          <w:noProof/>
          <w:lang w:val="en-GB" w:eastAsia="en-US"/>
        </w:rPr>
        <w:t>this amount is multiplied with</w:t>
      </w:r>
      <w:r w:rsidR="006C7731" w:rsidRPr="00681C88">
        <w:rPr>
          <w:rFonts w:eastAsia="Calibri"/>
          <w:noProof/>
          <w:lang w:val="en-GB" w:eastAsia="en-US"/>
        </w:rPr>
        <w:t xml:space="preserve"> 100.</w:t>
      </w:r>
    </w:p>
    <w:p w14:paraId="539E71BD" w14:textId="77777777" w:rsidR="00EE4BFE" w:rsidRPr="00681C88" w:rsidRDefault="00EE4BFE">
      <w:pPr>
        <w:spacing w:line="240" w:lineRule="auto"/>
        <w:jc w:val="center"/>
        <w:rPr>
          <w:b/>
          <w:bCs/>
          <w:noProof/>
          <w:lang w:val="en-GB" w:eastAsia="en-US"/>
        </w:rPr>
      </w:pPr>
    </w:p>
    <w:p w14:paraId="007E450B" w14:textId="77777777" w:rsidR="00EE4BFE" w:rsidRPr="00681C88" w:rsidRDefault="00EE4BFE">
      <w:pPr>
        <w:spacing w:line="240" w:lineRule="auto"/>
        <w:jc w:val="center"/>
        <w:rPr>
          <w:b/>
          <w:bCs/>
          <w:noProof/>
          <w:lang w:val="en-GB" w:eastAsia="en-US"/>
        </w:rPr>
      </w:pPr>
    </w:p>
    <w:p w14:paraId="072B6142" w14:textId="557748C9" w:rsidR="00EE4BFE" w:rsidRPr="00681C88" w:rsidRDefault="006122F1">
      <w:pPr>
        <w:spacing w:line="240" w:lineRule="auto"/>
        <w:contextualSpacing/>
        <w:jc w:val="center"/>
        <w:rPr>
          <w:b/>
          <w:bCs/>
          <w:noProof/>
          <w:lang w:val="en-GB" w:eastAsia="en-US"/>
        </w:rPr>
      </w:pPr>
      <w:r w:rsidRPr="00681C88">
        <w:rPr>
          <w:b/>
          <w:bCs/>
          <w:noProof/>
          <w:lang w:val="en-GB" w:eastAsia="en-US"/>
        </w:rPr>
        <w:t xml:space="preserve">Article </w:t>
      </w:r>
      <w:r w:rsidR="006C7731" w:rsidRPr="00681C88">
        <w:rPr>
          <w:b/>
          <w:bCs/>
          <w:noProof/>
          <w:lang w:val="en-GB" w:eastAsia="en-US"/>
        </w:rPr>
        <w:t xml:space="preserve"> 7</w:t>
      </w:r>
    </w:p>
    <w:p w14:paraId="263EE58A" w14:textId="602B6CD7" w:rsidR="00EE4BFE" w:rsidRPr="00681C88" w:rsidRDefault="006C7731">
      <w:pPr>
        <w:spacing w:line="240" w:lineRule="auto"/>
        <w:contextualSpacing/>
        <w:jc w:val="center"/>
        <w:rPr>
          <w:b/>
          <w:bCs/>
          <w:noProof/>
          <w:lang w:val="en-GB" w:eastAsia="en-US"/>
        </w:rPr>
      </w:pPr>
      <w:r w:rsidRPr="00681C88">
        <w:rPr>
          <w:b/>
          <w:bCs/>
          <w:noProof/>
          <w:lang w:val="en-GB" w:eastAsia="en-US"/>
        </w:rPr>
        <w:t>(</w:t>
      </w:r>
      <w:r w:rsidR="006122F1" w:rsidRPr="00681C88">
        <w:rPr>
          <w:b/>
          <w:bCs/>
          <w:noProof/>
          <w:lang w:val="en-GB" w:eastAsia="en-US"/>
        </w:rPr>
        <w:t>Publishing</w:t>
      </w:r>
      <w:r w:rsidRPr="00681C88">
        <w:rPr>
          <w:b/>
          <w:bCs/>
          <w:noProof/>
          <w:lang w:val="en-GB" w:eastAsia="en-US"/>
        </w:rPr>
        <w:t>)</w:t>
      </w:r>
    </w:p>
    <w:p w14:paraId="55F8A5D4" w14:textId="77777777" w:rsidR="00EE4BFE" w:rsidRPr="00681C88" w:rsidRDefault="00EE4BFE">
      <w:pPr>
        <w:spacing w:line="240" w:lineRule="auto"/>
        <w:contextualSpacing/>
        <w:jc w:val="center"/>
        <w:rPr>
          <w:b/>
          <w:bCs/>
          <w:noProof/>
          <w:lang w:val="en-GB" w:eastAsia="en-US"/>
        </w:rPr>
      </w:pPr>
    </w:p>
    <w:p w14:paraId="67040526" w14:textId="772D9844" w:rsidR="00983F9B" w:rsidRPr="00681C88" w:rsidRDefault="004C2474" w:rsidP="00983F9B">
      <w:pPr>
        <w:spacing w:after="160" w:line="240" w:lineRule="auto"/>
        <w:contextualSpacing/>
        <w:jc w:val="both"/>
        <w:rPr>
          <w:noProof/>
          <w:lang w:val="en-GB" w:eastAsia="en-US"/>
        </w:rPr>
      </w:pPr>
      <w:r w:rsidRPr="00681C88">
        <w:rPr>
          <w:noProof/>
          <w:lang w:val="en-GB" w:eastAsia="en-US"/>
        </w:rPr>
        <w:t>The CBBH will publish this M</w:t>
      </w:r>
      <w:r w:rsidR="00983F9B" w:rsidRPr="00681C88">
        <w:rPr>
          <w:noProof/>
          <w:lang w:val="en-GB" w:eastAsia="en-US"/>
        </w:rPr>
        <w:t xml:space="preserve">ethodology and all </w:t>
      </w:r>
      <w:r w:rsidR="00BE278B" w:rsidRPr="00681C88">
        <w:rPr>
          <w:noProof/>
          <w:lang w:val="en-GB" w:eastAsia="en-US"/>
        </w:rPr>
        <w:t xml:space="preserve">later adopted </w:t>
      </w:r>
      <w:r w:rsidR="00983F9B" w:rsidRPr="00681C88">
        <w:rPr>
          <w:noProof/>
          <w:lang w:val="en-GB" w:eastAsia="en-US"/>
        </w:rPr>
        <w:t>amendments to the Methodology on its website.</w:t>
      </w:r>
    </w:p>
    <w:p w14:paraId="20466DCE" w14:textId="77777777" w:rsidR="00983F9B" w:rsidRPr="00681C88" w:rsidRDefault="00983F9B" w:rsidP="00983F9B">
      <w:pPr>
        <w:spacing w:after="160" w:line="240" w:lineRule="auto"/>
        <w:contextualSpacing/>
        <w:jc w:val="both"/>
        <w:rPr>
          <w:noProof/>
          <w:lang w:val="en-GB" w:eastAsia="en-US"/>
        </w:rPr>
      </w:pPr>
    </w:p>
    <w:p w14:paraId="48EF39FF" w14:textId="28610E53" w:rsidR="00983F9B" w:rsidRPr="00681C88" w:rsidRDefault="00983F9B" w:rsidP="00983F9B">
      <w:pPr>
        <w:spacing w:after="160" w:line="240" w:lineRule="auto"/>
        <w:contextualSpacing/>
        <w:jc w:val="both"/>
        <w:rPr>
          <w:noProof/>
          <w:lang w:val="en-GB" w:eastAsia="en-US"/>
        </w:rPr>
      </w:pPr>
      <w:r w:rsidRPr="00681C88">
        <w:rPr>
          <w:noProof/>
          <w:lang w:val="en-GB" w:eastAsia="en-US"/>
        </w:rPr>
        <w:t xml:space="preserve">Based on the data that, in the agreed format and according to the agreed dynamics, are submitted by FBA and </w:t>
      </w:r>
      <w:r w:rsidR="004C2474" w:rsidRPr="00681C88">
        <w:rPr>
          <w:noProof/>
          <w:lang w:val="en-GB" w:eastAsia="en-US"/>
        </w:rPr>
        <w:t>RSBA</w:t>
      </w:r>
      <w:r w:rsidRPr="00681C88">
        <w:rPr>
          <w:noProof/>
          <w:lang w:val="en-GB" w:eastAsia="en-US"/>
        </w:rPr>
        <w:t>, the CBBH publishes aggregated data for the calculation of RRFC 3 (aggregate</w:t>
      </w:r>
      <w:r w:rsidR="00E420D3" w:rsidRPr="00681C88">
        <w:rPr>
          <w:noProof/>
          <w:lang w:val="en-GB" w:eastAsia="en-US"/>
        </w:rPr>
        <w:t>d data on the costs of fund</w:t>
      </w:r>
      <w:r w:rsidR="0059704F" w:rsidRPr="00681C88">
        <w:rPr>
          <w:noProof/>
          <w:lang w:val="en-GB" w:eastAsia="en-US"/>
        </w:rPr>
        <w:t>ing</w:t>
      </w:r>
      <w:r w:rsidRPr="00681C88">
        <w:rPr>
          <w:noProof/>
          <w:lang w:val="en-GB" w:eastAsia="en-US"/>
        </w:rPr>
        <w:t xml:space="preserve"> sources and aggregated data on the </w:t>
      </w:r>
      <w:r w:rsidR="00AE47BE" w:rsidRPr="00681C88">
        <w:rPr>
          <w:noProof/>
          <w:lang w:val="en-GB" w:eastAsia="en-US"/>
        </w:rPr>
        <w:t xml:space="preserve">related </w:t>
      </w:r>
      <w:r w:rsidR="00E420D3" w:rsidRPr="00681C88">
        <w:rPr>
          <w:noProof/>
          <w:lang w:val="en-GB" w:eastAsia="en-US"/>
        </w:rPr>
        <w:t>fund</w:t>
      </w:r>
      <w:r w:rsidR="0059704F" w:rsidRPr="00681C88">
        <w:rPr>
          <w:noProof/>
          <w:lang w:val="en-GB" w:eastAsia="en-US"/>
        </w:rPr>
        <w:t>ing</w:t>
      </w:r>
      <w:r w:rsidRPr="00681C88">
        <w:rPr>
          <w:noProof/>
          <w:lang w:val="en-GB" w:eastAsia="en-US"/>
        </w:rPr>
        <w:t xml:space="preserve"> sources), and the calculated RRFC 3 for the reference quarter on its website.</w:t>
      </w:r>
    </w:p>
    <w:p w14:paraId="1C90D464" w14:textId="77777777" w:rsidR="00983F9B" w:rsidRPr="00681C88" w:rsidRDefault="00983F9B" w:rsidP="00983F9B">
      <w:pPr>
        <w:spacing w:after="160" w:line="240" w:lineRule="auto"/>
        <w:contextualSpacing/>
        <w:jc w:val="both"/>
        <w:rPr>
          <w:noProof/>
          <w:lang w:val="en-GB" w:eastAsia="en-US"/>
        </w:rPr>
      </w:pPr>
    </w:p>
    <w:p w14:paraId="7B30B141" w14:textId="6DEEE6D0" w:rsidR="00983F9B" w:rsidRPr="00681C88" w:rsidRDefault="00983F9B" w:rsidP="00983F9B">
      <w:pPr>
        <w:spacing w:after="160" w:line="240" w:lineRule="auto"/>
        <w:contextualSpacing/>
        <w:jc w:val="both"/>
        <w:rPr>
          <w:noProof/>
          <w:lang w:val="en-GB" w:eastAsia="en-US"/>
        </w:rPr>
      </w:pPr>
      <w:r w:rsidRPr="00681C88">
        <w:rPr>
          <w:noProof/>
          <w:lang w:val="en-GB" w:eastAsia="en-US"/>
        </w:rPr>
        <w:t xml:space="preserve">Given that the RRFC is a statistical indicator, for the analytical </w:t>
      </w:r>
      <w:r w:rsidR="00AE47BE" w:rsidRPr="00681C88">
        <w:rPr>
          <w:noProof/>
          <w:lang w:val="en-GB" w:eastAsia="en-US"/>
        </w:rPr>
        <w:t>purposes</w:t>
      </w:r>
      <w:r w:rsidRPr="00681C88">
        <w:rPr>
          <w:noProof/>
          <w:lang w:val="en-GB" w:eastAsia="en-US"/>
        </w:rPr>
        <w:t xml:space="preserve"> of the CBBH, FBA and </w:t>
      </w:r>
      <w:r w:rsidR="004C2474" w:rsidRPr="00681C88">
        <w:rPr>
          <w:noProof/>
          <w:lang w:val="en-GB" w:eastAsia="en-US"/>
        </w:rPr>
        <w:t>RSBA</w:t>
      </w:r>
      <w:r w:rsidRPr="00681C88">
        <w:rPr>
          <w:noProof/>
          <w:lang w:val="en-GB" w:eastAsia="en-US"/>
        </w:rPr>
        <w:t xml:space="preserve">, all three RRFCs are calculated, while for the purposes of use by banks, only RRFC 3 is published for two currencies (KM and EUR) according to defined periods </w:t>
      </w:r>
      <w:r w:rsidR="00810CCF" w:rsidRPr="00681C88">
        <w:rPr>
          <w:noProof/>
          <w:lang w:val="en-GB" w:eastAsia="en-US"/>
        </w:rPr>
        <w:t>of</w:t>
      </w:r>
      <w:r w:rsidRPr="00681C88">
        <w:rPr>
          <w:noProof/>
          <w:lang w:val="en-GB" w:eastAsia="en-US"/>
        </w:rPr>
        <w:t xml:space="preserve"> 3, 6 and 12 months. Data and reference rates are published quarterly, no later than 45 days after the end of the quarter.</w:t>
      </w:r>
    </w:p>
    <w:p w14:paraId="160CFBE8" w14:textId="77777777" w:rsidR="00983F9B" w:rsidRPr="00681C88" w:rsidRDefault="00983F9B" w:rsidP="00983F9B">
      <w:pPr>
        <w:spacing w:after="160" w:line="240" w:lineRule="auto"/>
        <w:contextualSpacing/>
        <w:jc w:val="both"/>
        <w:rPr>
          <w:noProof/>
          <w:lang w:val="en-GB" w:eastAsia="en-US"/>
        </w:rPr>
      </w:pPr>
    </w:p>
    <w:p w14:paraId="7FFD1C4D" w14:textId="10AC993B" w:rsidR="00EE4BFE" w:rsidRPr="00681C88" w:rsidRDefault="00810CCF" w:rsidP="00983F9B">
      <w:pPr>
        <w:spacing w:after="160" w:line="240" w:lineRule="auto"/>
        <w:contextualSpacing/>
        <w:jc w:val="both"/>
        <w:rPr>
          <w:noProof/>
          <w:lang w:val="en-GB" w:eastAsia="en-US"/>
        </w:rPr>
      </w:pPr>
      <w:r w:rsidRPr="00681C88">
        <w:rPr>
          <w:noProof/>
          <w:lang w:val="en-GB" w:eastAsia="en-US"/>
        </w:rPr>
        <w:t>The M</w:t>
      </w:r>
      <w:r w:rsidR="00983F9B" w:rsidRPr="00681C88">
        <w:rPr>
          <w:noProof/>
          <w:lang w:val="en-GB" w:eastAsia="en-US"/>
        </w:rPr>
        <w:t xml:space="preserve">ethodology is suitable for application at the </w:t>
      </w:r>
      <w:r w:rsidRPr="00681C88">
        <w:rPr>
          <w:noProof/>
          <w:lang w:val="en-GB" w:eastAsia="en-US"/>
        </w:rPr>
        <w:t xml:space="preserve">Entity level and FBA and </w:t>
      </w:r>
      <w:r w:rsidR="00983F9B" w:rsidRPr="00681C88">
        <w:rPr>
          <w:noProof/>
          <w:lang w:val="en-GB" w:eastAsia="en-US"/>
        </w:rPr>
        <w:t>RS</w:t>
      </w:r>
      <w:r w:rsidRPr="00681C88">
        <w:rPr>
          <w:noProof/>
          <w:lang w:val="en-GB" w:eastAsia="en-US"/>
        </w:rPr>
        <w:t>BA</w:t>
      </w:r>
      <w:r w:rsidR="00983F9B" w:rsidRPr="00681C88">
        <w:rPr>
          <w:noProof/>
          <w:lang w:val="en-GB" w:eastAsia="en-US"/>
        </w:rPr>
        <w:t xml:space="preserve"> have the possibility to </w:t>
      </w:r>
      <w:r w:rsidRPr="00681C88">
        <w:rPr>
          <w:noProof/>
          <w:lang w:val="en-GB" w:eastAsia="en-US"/>
        </w:rPr>
        <w:t>calculate the RRFC at the E</w:t>
      </w:r>
      <w:r w:rsidR="00983F9B" w:rsidRPr="00681C88">
        <w:rPr>
          <w:noProof/>
          <w:lang w:val="en-GB" w:eastAsia="en-US"/>
        </w:rPr>
        <w:t xml:space="preserve">ntity level, based on data for banks from the respective </w:t>
      </w:r>
      <w:r w:rsidRPr="00681C88">
        <w:rPr>
          <w:noProof/>
          <w:lang w:val="en-GB" w:eastAsia="en-US"/>
        </w:rPr>
        <w:t>E</w:t>
      </w:r>
      <w:r w:rsidR="00983F9B" w:rsidRPr="00681C88">
        <w:rPr>
          <w:noProof/>
          <w:lang w:val="en-GB" w:eastAsia="en-US"/>
        </w:rPr>
        <w:t>ntity</w:t>
      </w:r>
      <w:r w:rsidR="006C7731" w:rsidRPr="00681C88">
        <w:rPr>
          <w:noProof/>
          <w:lang w:val="en-GB" w:eastAsia="en-US"/>
        </w:rPr>
        <w:t xml:space="preserve">.  </w:t>
      </w:r>
    </w:p>
    <w:p w14:paraId="2C33A1A5" w14:textId="77777777" w:rsidR="006C7731" w:rsidRPr="00681C88" w:rsidRDefault="006C7731">
      <w:pPr>
        <w:spacing w:line="240" w:lineRule="auto"/>
        <w:contextualSpacing/>
        <w:jc w:val="center"/>
        <w:rPr>
          <w:b/>
          <w:lang w:val="en-GB"/>
        </w:rPr>
      </w:pPr>
    </w:p>
    <w:p w14:paraId="53CD1187" w14:textId="1B3CA4EB" w:rsidR="00EE4BFE" w:rsidRPr="00681C88" w:rsidRDefault="00AE47BE">
      <w:pPr>
        <w:spacing w:line="240" w:lineRule="auto"/>
        <w:contextualSpacing/>
        <w:jc w:val="center"/>
        <w:rPr>
          <w:b/>
          <w:lang w:val="en-GB"/>
        </w:rPr>
      </w:pPr>
      <w:r w:rsidRPr="00681C88">
        <w:rPr>
          <w:b/>
          <w:lang w:val="en-GB"/>
        </w:rPr>
        <w:t>Article 8</w:t>
      </w:r>
    </w:p>
    <w:p w14:paraId="7D265908" w14:textId="32F901AE" w:rsidR="00EE4BFE" w:rsidRPr="00681C88" w:rsidRDefault="006C7731">
      <w:pPr>
        <w:spacing w:line="240" w:lineRule="auto"/>
        <w:contextualSpacing/>
        <w:jc w:val="center"/>
        <w:rPr>
          <w:b/>
          <w:lang w:val="en-GB"/>
        </w:rPr>
      </w:pPr>
      <w:r w:rsidRPr="00681C88">
        <w:rPr>
          <w:b/>
          <w:lang w:val="en-GB"/>
        </w:rPr>
        <w:t>(</w:t>
      </w:r>
      <w:bookmarkStart w:id="3" w:name="_Hlk138945000"/>
      <w:r w:rsidR="006122F1" w:rsidRPr="00681C88">
        <w:rPr>
          <w:b/>
          <w:lang w:val="en-GB"/>
        </w:rPr>
        <w:t>Cooperation of the Banking Agencies and the</w:t>
      </w:r>
      <w:r w:rsidRPr="00681C88">
        <w:rPr>
          <w:b/>
          <w:lang w:val="en-GB"/>
        </w:rPr>
        <w:t xml:space="preserve"> CBBH</w:t>
      </w:r>
      <w:bookmarkEnd w:id="3"/>
      <w:r w:rsidRPr="00681C88">
        <w:rPr>
          <w:b/>
          <w:lang w:val="en-GB"/>
        </w:rPr>
        <w:t>)</w:t>
      </w:r>
    </w:p>
    <w:p w14:paraId="433284D0" w14:textId="77777777" w:rsidR="00EE4BFE" w:rsidRPr="00681C88" w:rsidRDefault="00EE4BFE">
      <w:pPr>
        <w:spacing w:line="240" w:lineRule="auto"/>
        <w:contextualSpacing/>
        <w:jc w:val="center"/>
        <w:rPr>
          <w:b/>
          <w:bCs/>
          <w:noProof/>
          <w:lang w:val="en-GB" w:eastAsia="en-US"/>
        </w:rPr>
      </w:pPr>
    </w:p>
    <w:p w14:paraId="0253051F" w14:textId="0956A244" w:rsidR="00983F9B" w:rsidRPr="00681C88" w:rsidRDefault="00983F9B" w:rsidP="00983F9B">
      <w:pPr>
        <w:spacing w:line="240" w:lineRule="auto"/>
        <w:contextualSpacing/>
        <w:jc w:val="both"/>
        <w:rPr>
          <w:lang w:val="en-GB"/>
        </w:rPr>
      </w:pPr>
      <w:r w:rsidRPr="00681C88">
        <w:rPr>
          <w:lang w:val="en-GB"/>
        </w:rPr>
        <w:t>Cooperation takes place on the basis of the Memorandum on the principles of coordination of banking supervision and cooperation and exchange of data and information</w:t>
      </w:r>
      <w:r w:rsidR="00862A00" w:rsidRPr="00681C88">
        <w:rPr>
          <w:lang w:val="en-GB"/>
        </w:rPr>
        <w:t>,</w:t>
      </w:r>
      <w:r w:rsidRPr="00681C88">
        <w:rPr>
          <w:lang w:val="en-GB"/>
        </w:rPr>
        <w:t xml:space="preserve"> concluded between the CBBH, FBA and RS</w:t>
      </w:r>
      <w:r w:rsidR="00810CCF" w:rsidRPr="00681C88">
        <w:rPr>
          <w:lang w:val="en-GB"/>
        </w:rPr>
        <w:t>BA,</w:t>
      </w:r>
      <w:r w:rsidRPr="00681C88">
        <w:rPr>
          <w:lang w:val="en-GB"/>
        </w:rPr>
        <w:t xml:space="preserve"> number: 01-897/08, number: 01-2-1170/08 and number: 01-</w:t>
      </w:r>
      <w:r w:rsidR="00AE47BE" w:rsidRPr="00681C88">
        <w:rPr>
          <w:lang w:val="en-GB"/>
        </w:rPr>
        <w:t>691.</w:t>
      </w:r>
    </w:p>
    <w:p w14:paraId="45F826F7" w14:textId="77777777" w:rsidR="00983F9B" w:rsidRPr="00681C88" w:rsidRDefault="00983F9B" w:rsidP="00983F9B">
      <w:pPr>
        <w:spacing w:line="240" w:lineRule="auto"/>
        <w:contextualSpacing/>
        <w:jc w:val="both"/>
        <w:rPr>
          <w:lang w:val="en-GB"/>
        </w:rPr>
      </w:pPr>
    </w:p>
    <w:p w14:paraId="5BFBAE1E" w14:textId="14ED6381" w:rsidR="00983F9B" w:rsidRPr="00681C88" w:rsidRDefault="00983F9B" w:rsidP="00983F9B">
      <w:pPr>
        <w:spacing w:line="240" w:lineRule="auto"/>
        <w:contextualSpacing/>
        <w:jc w:val="both"/>
        <w:rPr>
          <w:lang w:val="en-GB"/>
        </w:rPr>
      </w:pPr>
      <w:r w:rsidRPr="00681C88">
        <w:rPr>
          <w:lang w:val="en-GB"/>
        </w:rPr>
        <w:t xml:space="preserve">The CBBH will regularly, quarterly, calculate the selected RRFCs, </w:t>
      </w:r>
      <w:r w:rsidR="00862A00" w:rsidRPr="00681C88">
        <w:rPr>
          <w:lang w:val="en-GB"/>
        </w:rPr>
        <w:t xml:space="preserve">in accordance with the Methodology, </w:t>
      </w:r>
      <w:r w:rsidRPr="00681C88">
        <w:rPr>
          <w:lang w:val="en-GB"/>
        </w:rPr>
        <w:t>after</w:t>
      </w:r>
      <w:r w:rsidR="00862A00" w:rsidRPr="00681C88">
        <w:rPr>
          <w:lang w:val="en-GB"/>
        </w:rPr>
        <w:t xml:space="preserve"> receiving</w:t>
      </w:r>
      <w:r w:rsidRPr="00681C88">
        <w:rPr>
          <w:lang w:val="en-GB"/>
        </w:rPr>
        <w:t xml:space="preserve"> the data for the end of the reporting period</w:t>
      </w:r>
      <w:r w:rsidR="00862A00" w:rsidRPr="00681C88">
        <w:rPr>
          <w:lang w:val="en-GB"/>
        </w:rPr>
        <w:t>.</w:t>
      </w:r>
      <w:r w:rsidRPr="00681C88">
        <w:rPr>
          <w:lang w:val="en-GB"/>
        </w:rPr>
        <w:t xml:space="preserve"> </w:t>
      </w:r>
      <w:r w:rsidR="00810CCF" w:rsidRPr="00681C88">
        <w:rPr>
          <w:lang w:val="en-GB"/>
        </w:rPr>
        <w:t xml:space="preserve">FBA and </w:t>
      </w:r>
      <w:r w:rsidRPr="00681C88">
        <w:rPr>
          <w:lang w:val="en-GB"/>
        </w:rPr>
        <w:t>RS</w:t>
      </w:r>
      <w:r w:rsidR="00810CCF" w:rsidRPr="00681C88">
        <w:rPr>
          <w:lang w:val="en-GB"/>
        </w:rPr>
        <w:t>BA</w:t>
      </w:r>
      <w:r w:rsidRPr="00681C88">
        <w:rPr>
          <w:lang w:val="en-GB"/>
        </w:rPr>
        <w:t xml:space="preserve"> will timely submit to the CBBH all the necessary data for individual banks for the calculation of RRFC on the form </w:t>
      </w:r>
      <w:r w:rsidR="00810CCF" w:rsidRPr="00681C88">
        <w:rPr>
          <w:lang w:val="en-GB"/>
        </w:rPr>
        <w:t>defined and agreed upon by the Entities' Banking A</w:t>
      </w:r>
      <w:r w:rsidRPr="00681C88">
        <w:rPr>
          <w:lang w:val="en-GB"/>
        </w:rPr>
        <w:t>gencies.</w:t>
      </w:r>
    </w:p>
    <w:p w14:paraId="6153A451" w14:textId="77777777" w:rsidR="00983F9B" w:rsidRPr="00681C88" w:rsidRDefault="00983F9B" w:rsidP="00983F9B">
      <w:pPr>
        <w:spacing w:line="240" w:lineRule="auto"/>
        <w:contextualSpacing/>
        <w:jc w:val="both"/>
        <w:rPr>
          <w:lang w:val="en-GB"/>
        </w:rPr>
      </w:pPr>
    </w:p>
    <w:p w14:paraId="60D39516" w14:textId="7CAFA038" w:rsidR="00983F9B" w:rsidRPr="00681C88" w:rsidRDefault="00983F9B" w:rsidP="00983F9B">
      <w:pPr>
        <w:spacing w:line="240" w:lineRule="auto"/>
        <w:contextualSpacing/>
        <w:jc w:val="both"/>
        <w:rPr>
          <w:lang w:val="en-GB"/>
        </w:rPr>
      </w:pPr>
      <w:r w:rsidRPr="00681C88">
        <w:rPr>
          <w:lang w:val="en-GB"/>
        </w:rPr>
        <w:t xml:space="preserve">Banks are responsible for the control and accuracy of input data. In order to ensure the reliability of the input data used to calculate the </w:t>
      </w:r>
      <w:r w:rsidR="00E420D3" w:rsidRPr="00681C88">
        <w:rPr>
          <w:lang w:val="en-GB"/>
        </w:rPr>
        <w:t>RRFC</w:t>
      </w:r>
      <w:r w:rsidRPr="00681C88">
        <w:rPr>
          <w:lang w:val="en-GB"/>
        </w:rPr>
        <w:t xml:space="preserve">, </w:t>
      </w:r>
      <w:r w:rsidR="00810CCF" w:rsidRPr="00681C88">
        <w:rPr>
          <w:lang w:val="en-GB"/>
        </w:rPr>
        <w:t>the Entities' Banking A</w:t>
      </w:r>
      <w:r w:rsidR="004C2474" w:rsidRPr="00681C88">
        <w:rPr>
          <w:lang w:val="en-GB"/>
        </w:rPr>
        <w:t>gencies</w:t>
      </w:r>
      <w:r w:rsidR="009B195D">
        <w:rPr>
          <w:lang w:val="en-GB"/>
        </w:rPr>
        <w:t xml:space="preserve"> </w:t>
      </w:r>
      <w:r w:rsidRPr="00681C88">
        <w:rPr>
          <w:lang w:val="en-GB"/>
        </w:rPr>
        <w:t>will establish a process of logical data verification. If, at the time of calculation, the data is missing, does not satisfy logical controls, or the reliability of the data is otherwise questionable, the corresponding data from the quarter preceding the quarter of calculation will be used.</w:t>
      </w:r>
      <w:r w:rsidR="00810CCF" w:rsidRPr="00681C88">
        <w:rPr>
          <w:lang w:val="en-GB"/>
        </w:rPr>
        <w:t xml:space="preserve"> </w:t>
      </w:r>
    </w:p>
    <w:p w14:paraId="300B48C8" w14:textId="77777777" w:rsidR="00983F9B" w:rsidRPr="00681C88" w:rsidRDefault="00983F9B" w:rsidP="00983F9B">
      <w:pPr>
        <w:spacing w:line="240" w:lineRule="auto"/>
        <w:contextualSpacing/>
        <w:jc w:val="both"/>
        <w:rPr>
          <w:lang w:val="en-GB"/>
        </w:rPr>
      </w:pPr>
    </w:p>
    <w:p w14:paraId="1379033E" w14:textId="04FB8CE1" w:rsidR="00EE4BFE" w:rsidRPr="00681C88" w:rsidRDefault="00983F9B" w:rsidP="00983F9B">
      <w:pPr>
        <w:spacing w:line="240" w:lineRule="auto"/>
        <w:contextualSpacing/>
        <w:jc w:val="both"/>
        <w:rPr>
          <w:lang w:val="en-GB"/>
        </w:rPr>
      </w:pPr>
      <w:r w:rsidRPr="00681C88">
        <w:rPr>
          <w:lang w:val="en-GB"/>
        </w:rPr>
        <w:t xml:space="preserve">The cooperation between the </w:t>
      </w:r>
      <w:r w:rsidR="00810CCF" w:rsidRPr="00681C88">
        <w:rPr>
          <w:lang w:val="en-GB"/>
        </w:rPr>
        <w:t>B</w:t>
      </w:r>
      <w:r w:rsidRPr="00681C88">
        <w:rPr>
          <w:lang w:val="en-GB"/>
        </w:rPr>
        <w:t xml:space="preserve">anking </w:t>
      </w:r>
      <w:r w:rsidR="00810CCF" w:rsidRPr="00681C88">
        <w:rPr>
          <w:lang w:val="en-GB"/>
        </w:rPr>
        <w:t>A</w:t>
      </w:r>
      <w:r w:rsidRPr="00681C88">
        <w:rPr>
          <w:lang w:val="en-GB"/>
        </w:rPr>
        <w:t>gencies and the CBBH must take place in such a way that care is taken to protect the confidentiality of data, and all signatories undertake to keep them as a professional secret</w:t>
      </w:r>
      <w:r w:rsidR="006C7731" w:rsidRPr="00681C88">
        <w:rPr>
          <w:lang w:val="en-GB"/>
        </w:rPr>
        <w:t xml:space="preserve">. </w:t>
      </w:r>
    </w:p>
    <w:p w14:paraId="247E2BEE" w14:textId="77777777" w:rsidR="00EE4BFE" w:rsidRPr="00681C88" w:rsidRDefault="00EE4BFE">
      <w:pPr>
        <w:spacing w:line="240" w:lineRule="auto"/>
        <w:contextualSpacing/>
        <w:jc w:val="center"/>
        <w:rPr>
          <w:b/>
          <w:bCs/>
          <w:noProof/>
          <w:lang w:val="en-GB" w:eastAsia="en-US"/>
        </w:rPr>
      </w:pPr>
    </w:p>
    <w:p w14:paraId="31F7E29D" w14:textId="7A9E6DB7" w:rsidR="00EE4BFE" w:rsidRPr="00681C88" w:rsidRDefault="006122F1">
      <w:pPr>
        <w:spacing w:line="240" w:lineRule="auto"/>
        <w:contextualSpacing/>
        <w:jc w:val="center"/>
        <w:rPr>
          <w:b/>
          <w:bCs/>
          <w:noProof/>
          <w:lang w:val="en-GB" w:eastAsia="en-US"/>
        </w:rPr>
      </w:pPr>
      <w:r w:rsidRPr="00681C88">
        <w:rPr>
          <w:b/>
          <w:bCs/>
          <w:noProof/>
          <w:lang w:val="en-GB" w:eastAsia="en-US"/>
        </w:rPr>
        <w:t xml:space="preserve">Article </w:t>
      </w:r>
      <w:r w:rsidR="006C7731" w:rsidRPr="00681C88">
        <w:rPr>
          <w:b/>
          <w:bCs/>
          <w:noProof/>
          <w:lang w:val="en-GB" w:eastAsia="en-US"/>
        </w:rPr>
        <w:t xml:space="preserve"> 9</w:t>
      </w:r>
    </w:p>
    <w:p w14:paraId="0DBD5F61" w14:textId="6121B23E" w:rsidR="00EE4BFE" w:rsidRPr="00681C88" w:rsidRDefault="006C7731">
      <w:pPr>
        <w:spacing w:line="240" w:lineRule="auto"/>
        <w:contextualSpacing/>
        <w:jc w:val="center"/>
        <w:rPr>
          <w:b/>
          <w:bCs/>
          <w:noProof/>
          <w:lang w:val="en-GB" w:eastAsia="en-US"/>
        </w:rPr>
      </w:pPr>
      <w:r w:rsidRPr="00681C88">
        <w:rPr>
          <w:b/>
          <w:bCs/>
          <w:noProof/>
          <w:lang w:val="en-GB" w:eastAsia="en-US"/>
        </w:rPr>
        <w:t>(</w:t>
      </w:r>
      <w:r w:rsidR="006122F1" w:rsidRPr="00681C88">
        <w:rPr>
          <w:b/>
          <w:bCs/>
          <w:noProof/>
          <w:lang w:val="en-GB" w:eastAsia="en-US"/>
        </w:rPr>
        <w:t>Final provisions</w:t>
      </w:r>
      <w:r w:rsidRPr="00681C88">
        <w:rPr>
          <w:b/>
          <w:bCs/>
          <w:noProof/>
          <w:lang w:val="en-GB" w:eastAsia="en-US"/>
        </w:rPr>
        <w:t>)</w:t>
      </w:r>
    </w:p>
    <w:p w14:paraId="3500C483" w14:textId="77777777" w:rsidR="00EE4BFE" w:rsidRPr="00681C88" w:rsidRDefault="00EE4BFE">
      <w:pPr>
        <w:spacing w:line="240" w:lineRule="auto"/>
        <w:contextualSpacing/>
        <w:jc w:val="center"/>
        <w:rPr>
          <w:b/>
          <w:bCs/>
          <w:noProof/>
          <w:lang w:val="en-GB" w:eastAsia="en-US"/>
        </w:rPr>
      </w:pPr>
    </w:p>
    <w:p w14:paraId="5D4D003F" w14:textId="1B7B8072" w:rsidR="00983F9B" w:rsidRPr="00681C88" w:rsidRDefault="00E420D3" w:rsidP="00983F9B">
      <w:pPr>
        <w:spacing w:line="240" w:lineRule="auto"/>
        <w:contextualSpacing/>
        <w:jc w:val="both"/>
        <w:rPr>
          <w:lang w:val="en-GB"/>
        </w:rPr>
      </w:pPr>
      <w:r w:rsidRPr="00681C88">
        <w:rPr>
          <w:lang w:val="en-GB"/>
        </w:rPr>
        <w:t>This M</w:t>
      </w:r>
      <w:r w:rsidR="00983F9B" w:rsidRPr="00681C88">
        <w:rPr>
          <w:lang w:val="en-GB"/>
        </w:rPr>
        <w:t>ethodology was supported at the second meeting of the Coordination of Banking Superv</w:t>
      </w:r>
      <w:r w:rsidR="00810CCF" w:rsidRPr="00681C88">
        <w:rPr>
          <w:lang w:val="en-GB"/>
        </w:rPr>
        <w:t>ision held on June 29, 2023</w:t>
      </w:r>
      <w:r w:rsidR="00983F9B" w:rsidRPr="00681C88">
        <w:rPr>
          <w:lang w:val="en-GB"/>
        </w:rPr>
        <w:t xml:space="preserve"> and can be changed with the full</w:t>
      </w:r>
      <w:r w:rsidR="00810CCF" w:rsidRPr="00681C88">
        <w:rPr>
          <w:lang w:val="en-GB"/>
        </w:rPr>
        <w:t xml:space="preserve"> consent of the CBBH, FBA </w:t>
      </w:r>
      <w:r w:rsidR="00810CCF" w:rsidRPr="00681C88">
        <w:rPr>
          <w:lang w:val="en-GB"/>
        </w:rPr>
        <w:lastRenderedPageBreak/>
        <w:t xml:space="preserve">and </w:t>
      </w:r>
      <w:r w:rsidR="00983F9B" w:rsidRPr="00681C88">
        <w:rPr>
          <w:lang w:val="en-GB"/>
        </w:rPr>
        <w:t>RS</w:t>
      </w:r>
      <w:r w:rsidR="00810CCF" w:rsidRPr="00681C88">
        <w:rPr>
          <w:lang w:val="en-GB"/>
        </w:rPr>
        <w:t>BA</w:t>
      </w:r>
      <w:r w:rsidR="00983F9B" w:rsidRPr="00681C88">
        <w:rPr>
          <w:lang w:val="en-GB"/>
        </w:rPr>
        <w:t>. The termination of validity of the Methodology must be clearly and visibly communicated on the website of the CBBH.</w:t>
      </w:r>
    </w:p>
    <w:p w14:paraId="6E0F4E3F" w14:textId="77777777" w:rsidR="00983F9B" w:rsidRPr="00681C88" w:rsidRDefault="00983F9B" w:rsidP="00983F9B">
      <w:pPr>
        <w:spacing w:line="240" w:lineRule="auto"/>
        <w:contextualSpacing/>
        <w:jc w:val="both"/>
        <w:rPr>
          <w:lang w:val="en-GB"/>
        </w:rPr>
      </w:pPr>
    </w:p>
    <w:p w14:paraId="5FE0FF3A" w14:textId="0D24720A" w:rsidR="00EE4BFE" w:rsidRPr="00681C88" w:rsidRDefault="00810CCF" w:rsidP="00983F9B">
      <w:pPr>
        <w:spacing w:line="240" w:lineRule="auto"/>
        <w:contextualSpacing/>
        <w:jc w:val="both"/>
        <w:rPr>
          <w:lang w:val="en-GB"/>
        </w:rPr>
      </w:pPr>
      <w:r w:rsidRPr="00681C88">
        <w:rPr>
          <w:lang w:val="en-GB"/>
        </w:rPr>
        <w:t>This M</w:t>
      </w:r>
      <w:r w:rsidR="00983F9B" w:rsidRPr="00681C88">
        <w:rPr>
          <w:lang w:val="en-GB"/>
        </w:rPr>
        <w:t>ethodology enters into force on the day of its adoption</w:t>
      </w:r>
      <w:r w:rsidR="006C7731" w:rsidRPr="00681C88">
        <w:rPr>
          <w:lang w:val="en-GB"/>
        </w:rPr>
        <w:t>.</w:t>
      </w:r>
    </w:p>
    <w:p w14:paraId="55AC2B96" w14:textId="77777777" w:rsidR="00EE4BFE" w:rsidRPr="00681C88" w:rsidRDefault="00EE4BFE">
      <w:pPr>
        <w:spacing w:before="120" w:after="240"/>
        <w:jc w:val="center"/>
        <w:rPr>
          <w:lang w:val="en-GB"/>
        </w:rPr>
      </w:pPr>
    </w:p>
    <w:p w14:paraId="4910F953" w14:textId="77777777" w:rsidR="00EE4BFE" w:rsidRPr="00681C88" w:rsidRDefault="00EE4BFE">
      <w:pPr>
        <w:spacing w:before="120" w:after="120"/>
        <w:ind w:left="2832" w:firstLine="708"/>
        <w:jc w:val="both"/>
        <w:rPr>
          <w:lang w:val="en-GB"/>
        </w:rPr>
      </w:pPr>
    </w:p>
    <w:p w14:paraId="2B39CB35" w14:textId="4F98E276" w:rsidR="00EE4BFE" w:rsidRPr="00681C88" w:rsidRDefault="00983F9B">
      <w:pPr>
        <w:spacing w:before="120" w:after="120"/>
        <w:ind w:left="2832" w:firstLine="708"/>
        <w:jc w:val="both"/>
        <w:rPr>
          <w:lang w:val="en-GB"/>
        </w:rPr>
      </w:pPr>
      <w:r w:rsidRPr="00681C88">
        <w:rPr>
          <w:lang w:val="en-GB"/>
        </w:rPr>
        <w:t xml:space="preserve">Chairman of the </w:t>
      </w:r>
      <w:bookmarkStart w:id="4" w:name="_Hlk147389767"/>
      <w:r w:rsidR="00CD17FF" w:rsidRPr="00681C88">
        <w:rPr>
          <w:lang w:val="en-GB"/>
        </w:rPr>
        <w:t>Coordination</w:t>
      </w:r>
      <w:r w:rsidR="00810CCF" w:rsidRPr="00681C88">
        <w:rPr>
          <w:lang w:val="en-GB"/>
        </w:rPr>
        <w:t xml:space="preserve"> of </w:t>
      </w:r>
      <w:r w:rsidRPr="00681C88">
        <w:rPr>
          <w:lang w:val="en-GB"/>
        </w:rPr>
        <w:t>t</w:t>
      </w:r>
      <w:r w:rsidR="00810CCF" w:rsidRPr="00681C88">
        <w:rPr>
          <w:lang w:val="en-GB"/>
        </w:rPr>
        <w:t>h</w:t>
      </w:r>
      <w:r w:rsidRPr="00681C88">
        <w:rPr>
          <w:lang w:val="en-GB"/>
        </w:rPr>
        <w:t xml:space="preserve">e </w:t>
      </w:r>
      <w:r w:rsidR="00CD17FF" w:rsidRPr="00681C88">
        <w:rPr>
          <w:lang w:val="en-GB"/>
        </w:rPr>
        <w:t>Banking</w:t>
      </w:r>
      <w:r w:rsidRPr="00681C88">
        <w:rPr>
          <w:lang w:val="en-GB"/>
        </w:rPr>
        <w:t xml:space="preserve"> Supervision</w:t>
      </w:r>
      <w:r w:rsidR="006C7731" w:rsidRPr="00681C88">
        <w:rPr>
          <w:lang w:val="en-GB"/>
        </w:rPr>
        <w:t xml:space="preserve"> </w:t>
      </w:r>
      <w:bookmarkEnd w:id="4"/>
    </w:p>
    <w:p w14:paraId="70FF07C4" w14:textId="77777777" w:rsidR="00983F9B" w:rsidRPr="00681C88" w:rsidRDefault="006C7731">
      <w:pPr>
        <w:spacing w:before="120" w:after="120"/>
        <w:ind w:left="4248" w:firstLine="708"/>
        <w:jc w:val="both"/>
        <w:rPr>
          <w:lang w:val="en-GB"/>
        </w:rPr>
      </w:pPr>
      <w:r w:rsidRPr="00681C88">
        <w:rPr>
          <w:lang w:val="en-GB"/>
        </w:rPr>
        <w:t>Senad Softić</w:t>
      </w:r>
      <w:bookmarkStart w:id="5" w:name="_GoBack"/>
      <w:bookmarkEnd w:id="5"/>
      <w:r w:rsidRPr="00681C88">
        <w:rPr>
          <w:lang w:val="en-GB"/>
        </w:rPr>
        <w:t>,</w:t>
      </w:r>
      <w:r w:rsidR="00983F9B" w:rsidRPr="00681C88">
        <w:rPr>
          <w:lang w:val="en-GB"/>
        </w:rPr>
        <w:t xml:space="preserve"> Ph.D.</w:t>
      </w:r>
    </w:p>
    <w:p w14:paraId="633572DD" w14:textId="7B8C3E21" w:rsidR="00EE4BFE" w:rsidRPr="00681C88" w:rsidRDefault="00983F9B">
      <w:pPr>
        <w:spacing w:before="120" w:after="120"/>
        <w:ind w:left="4248" w:firstLine="708"/>
        <w:jc w:val="both"/>
        <w:rPr>
          <w:lang w:val="en-GB"/>
        </w:rPr>
      </w:pPr>
      <w:r w:rsidRPr="00681C88">
        <w:rPr>
          <w:lang w:val="en-GB"/>
        </w:rPr>
        <w:t xml:space="preserve">       Go</w:t>
      </w:r>
      <w:r w:rsidR="006C7731" w:rsidRPr="00681C88">
        <w:rPr>
          <w:lang w:val="en-GB"/>
        </w:rPr>
        <w:t>vern</w:t>
      </w:r>
      <w:r w:rsidRPr="00681C88">
        <w:rPr>
          <w:lang w:val="en-GB"/>
        </w:rPr>
        <w:t>o</w:t>
      </w:r>
      <w:r w:rsidR="006C7731" w:rsidRPr="00681C88">
        <w:rPr>
          <w:lang w:val="en-GB"/>
        </w:rPr>
        <w:t>r</w:t>
      </w:r>
    </w:p>
    <w:p w14:paraId="1484747C" w14:textId="77777777" w:rsidR="00EE4BFE" w:rsidRPr="00681C88" w:rsidRDefault="00EE4BFE">
      <w:pPr>
        <w:spacing w:before="120" w:after="120"/>
        <w:ind w:left="3540" w:firstLine="708"/>
        <w:jc w:val="both"/>
        <w:rPr>
          <w:lang w:val="en-GB"/>
        </w:rPr>
      </w:pPr>
    </w:p>
    <w:p w14:paraId="3875779D" w14:textId="77777777" w:rsidR="00EE4BFE" w:rsidRPr="00681C88" w:rsidRDefault="006C7731">
      <w:pPr>
        <w:spacing w:before="120" w:after="120"/>
        <w:ind w:left="3540" w:firstLine="708"/>
        <w:jc w:val="both"/>
        <w:rPr>
          <w:lang w:val="en-GB"/>
        </w:rPr>
      </w:pPr>
      <w:r w:rsidRPr="00681C88">
        <w:rPr>
          <w:lang w:val="en-GB"/>
        </w:rPr>
        <w:t>_____________________________</w:t>
      </w:r>
    </w:p>
    <w:p w14:paraId="0D7A8F37" w14:textId="77777777" w:rsidR="00EE4BFE" w:rsidRPr="00681C88" w:rsidRDefault="00EE4BFE">
      <w:pPr>
        <w:spacing w:before="120" w:after="120"/>
        <w:jc w:val="both"/>
        <w:rPr>
          <w:lang w:val="en-GB"/>
        </w:rPr>
      </w:pPr>
    </w:p>
    <w:p w14:paraId="31D4E7E7" w14:textId="77777777" w:rsidR="00EE4BFE" w:rsidRPr="00681C88" w:rsidRDefault="00EE4BFE">
      <w:pPr>
        <w:spacing w:before="120" w:after="120"/>
        <w:jc w:val="both"/>
        <w:rPr>
          <w:lang w:val="en-GB"/>
        </w:rPr>
      </w:pPr>
    </w:p>
    <w:p w14:paraId="4FD1683A" w14:textId="78C0A566" w:rsidR="00EE4BFE" w:rsidRPr="00681C88" w:rsidRDefault="00983F9B">
      <w:pPr>
        <w:spacing w:before="120" w:after="120"/>
        <w:jc w:val="both"/>
        <w:rPr>
          <w:lang w:val="en-GB"/>
        </w:rPr>
      </w:pPr>
      <w:r w:rsidRPr="00681C88">
        <w:rPr>
          <w:lang w:val="en-GB"/>
        </w:rPr>
        <w:t>No</w:t>
      </w:r>
      <w:r w:rsidR="006C7731" w:rsidRPr="00681C88">
        <w:rPr>
          <w:lang w:val="en-GB"/>
        </w:rPr>
        <w:t>: ________________/23</w:t>
      </w:r>
    </w:p>
    <w:p w14:paraId="2F9854B5" w14:textId="52D4A36C" w:rsidR="00EE4BFE" w:rsidRPr="00681C88" w:rsidRDefault="006C7731">
      <w:pPr>
        <w:spacing w:before="120" w:after="120"/>
        <w:jc w:val="both"/>
        <w:rPr>
          <w:lang w:val="en-GB"/>
        </w:rPr>
      </w:pPr>
      <w:r w:rsidRPr="00681C88">
        <w:rPr>
          <w:lang w:val="en-GB"/>
        </w:rPr>
        <w:t>Sarajevo, ______ 2023</w:t>
      </w:r>
    </w:p>
    <w:sectPr w:rsidR="00EE4BFE" w:rsidRPr="00681C88" w:rsidSect="00341472">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40A2" w14:textId="77777777" w:rsidR="00381A99" w:rsidRDefault="00381A99">
      <w:r>
        <w:separator/>
      </w:r>
    </w:p>
  </w:endnote>
  <w:endnote w:type="continuationSeparator" w:id="0">
    <w:p w14:paraId="7E0CC8ED" w14:textId="77777777" w:rsidR="00381A99" w:rsidRDefault="00381A99">
      <w:r>
        <w:continuationSeparator/>
      </w:r>
    </w:p>
  </w:endnote>
  <w:endnote w:type="continuationNotice" w:id="1">
    <w:p w14:paraId="505A4833" w14:textId="77777777" w:rsidR="00381A99" w:rsidRDefault="00381A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C3A2" w14:textId="77777777" w:rsidR="00F67329" w:rsidRDefault="00F6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EE37" w14:textId="77777777" w:rsidR="00A02461" w:rsidRDefault="00A02461">
    <w:pPr>
      <w:pStyle w:val="Footer"/>
      <w:jc w:val="right"/>
      <w:rPr>
        <w:rStyle w:val="PageNumber"/>
      </w:rPr>
    </w:pPr>
  </w:p>
  <w:p w14:paraId="7F0EDCAE" w14:textId="173906C8" w:rsidR="00EE4BFE" w:rsidRDefault="006C7731">
    <w:pPr>
      <w:pStyle w:val="Footer"/>
      <w:jc w:val="right"/>
    </w:pPr>
    <w:r>
      <w:rPr>
        <w:rStyle w:val="PageNumber"/>
      </w:rPr>
      <w:fldChar w:fldCharType="begin"/>
    </w:r>
    <w:r>
      <w:rPr>
        <w:rStyle w:val="PageNumber"/>
      </w:rPr>
      <w:instrText xml:space="preserve"> PAGE </w:instrText>
    </w:r>
    <w:r>
      <w:rPr>
        <w:rStyle w:val="PageNumber"/>
      </w:rPr>
      <w:fldChar w:fldCharType="separate"/>
    </w:r>
    <w:r w:rsidR="003A4FF9">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2B34" w14:textId="77777777" w:rsidR="00F67329" w:rsidRDefault="00F6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2C44" w14:textId="77777777" w:rsidR="00381A99" w:rsidRDefault="00381A99">
      <w:r>
        <w:separator/>
      </w:r>
    </w:p>
  </w:footnote>
  <w:footnote w:type="continuationSeparator" w:id="0">
    <w:p w14:paraId="3F6E04DA" w14:textId="77777777" w:rsidR="00381A99" w:rsidRDefault="00381A99">
      <w:r>
        <w:continuationSeparator/>
      </w:r>
    </w:p>
  </w:footnote>
  <w:footnote w:type="continuationNotice" w:id="1">
    <w:p w14:paraId="3DC78A29" w14:textId="77777777" w:rsidR="00381A99" w:rsidRDefault="00381A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44F5" w14:textId="77777777" w:rsidR="00F67329" w:rsidRDefault="00F6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1A0D" w14:textId="77777777" w:rsidR="00F67329" w:rsidRDefault="00F67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B3AC" w14:textId="77777777" w:rsidR="00F67329" w:rsidRDefault="00F6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85"/>
    <w:multiLevelType w:val="hybridMultilevel"/>
    <w:tmpl w:val="750A6B18"/>
    <w:lvl w:ilvl="0" w:tplc="E54AC3E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41B2C97"/>
    <w:multiLevelType w:val="hybridMultilevel"/>
    <w:tmpl w:val="4C70DCD6"/>
    <w:lvl w:ilvl="0" w:tplc="C162615E">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6285EC1"/>
    <w:multiLevelType w:val="hybridMultilevel"/>
    <w:tmpl w:val="D5EC4C22"/>
    <w:lvl w:ilvl="0" w:tplc="E54AC3E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66626EB"/>
    <w:multiLevelType w:val="hybridMultilevel"/>
    <w:tmpl w:val="9588120C"/>
    <w:lvl w:ilvl="0" w:tplc="C5C00042">
      <w:start w:val="1"/>
      <w:numFmt w:val="bullet"/>
      <w:lvlText w:val=""/>
      <w:lvlJc w:val="left"/>
      <w:pPr>
        <w:ind w:left="720" w:hanging="360"/>
      </w:pPr>
      <w:rPr>
        <w:rFonts w:ascii="Symbol" w:hAnsi="Symbol"/>
      </w:rPr>
    </w:lvl>
    <w:lvl w:ilvl="1" w:tplc="6080AE24">
      <w:start w:val="1"/>
      <w:numFmt w:val="bullet"/>
      <w:lvlText w:val=""/>
      <w:lvlJc w:val="left"/>
      <w:pPr>
        <w:ind w:left="720" w:hanging="360"/>
      </w:pPr>
      <w:rPr>
        <w:rFonts w:ascii="Symbol" w:hAnsi="Symbol"/>
      </w:rPr>
    </w:lvl>
    <w:lvl w:ilvl="2" w:tplc="43A0DD6E">
      <w:start w:val="1"/>
      <w:numFmt w:val="bullet"/>
      <w:lvlText w:val=""/>
      <w:lvlJc w:val="left"/>
      <w:pPr>
        <w:ind w:left="720" w:hanging="360"/>
      </w:pPr>
      <w:rPr>
        <w:rFonts w:ascii="Symbol" w:hAnsi="Symbol"/>
      </w:rPr>
    </w:lvl>
    <w:lvl w:ilvl="3" w:tplc="7CF43720">
      <w:start w:val="1"/>
      <w:numFmt w:val="bullet"/>
      <w:lvlText w:val=""/>
      <w:lvlJc w:val="left"/>
      <w:pPr>
        <w:ind w:left="720" w:hanging="360"/>
      </w:pPr>
      <w:rPr>
        <w:rFonts w:ascii="Symbol" w:hAnsi="Symbol"/>
      </w:rPr>
    </w:lvl>
    <w:lvl w:ilvl="4" w:tplc="3C840C56">
      <w:start w:val="1"/>
      <w:numFmt w:val="bullet"/>
      <w:lvlText w:val=""/>
      <w:lvlJc w:val="left"/>
      <w:pPr>
        <w:ind w:left="720" w:hanging="360"/>
      </w:pPr>
      <w:rPr>
        <w:rFonts w:ascii="Symbol" w:hAnsi="Symbol"/>
      </w:rPr>
    </w:lvl>
    <w:lvl w:ilvl="5" w:tplc="C1AC7D6E">
      <w:start w:val="1"/>
      <w:numFmt w:val="bullet"/>
      <w:lvlText w:val=""/>
      <w:lvlJc w:val="left"/>
      <w:pPr>
        <w:ind w:left="720" w:hanging="360"/>
      </w:pPr>
      <w:rPr>
        <w:rFonts w:ascii="Symbol" w:hAnsi="Symbol"/>
      </w:rPr>
    </w:lvl>
    <w:lvl w:ilvl="6" w:tplc="55F28698">
      <w:start w:val="1"/>
      <w:numFmt w:val="bullet"/>
      <w:lvlText w:val=""/>
      <w:lvlJc w:val="left"/>
      <w:pPr>
        <w:ind w:left="720" w:hanging="360"/>
      </w:pPr>
      <w:rPr>
        <w:rFonts w:ascii="Symbol" w:hAnsi="Symbol"/>
      </w:rPr>
    </w:lvl>
    <w:lvl w:ilvl="7" w:tplc="F2B831E4">
      <w:start w:val="1"/>
      <w:numFmt w:val="bullet"/>
      <w:lvlText w:val=""/>
      <w:lvlJc w:val="left"/>
      <w:pPr>
        <w:ind w:left="720" w:hanging="360"/>
      </w:pPr>
      <w:rPr>
        <w:rFonts w:ascii="Symbol" w:hAnsi="Symbol"/>
      </w:rPr>
    </w:lvl>
    <w:lvl w:ilvl="8" w:tplc="684EDC9E">
      <w:start w:val="1"/>
      <w:numFmt w:val="bullet"/>
      <w:lvlText w:val=""/>
      <w:lvlJc w:val="left"/>
      <w:pPr>
        <w:ind w:left="720" w:hanging="360"/>
      </w:pPr>
      <w:rPr>
        <w:rFonts w:ascii="Symbol" w:hAnsi="Symbol"/>
      </w:rPr>
    </w:lvl>
  </w:abstractNum>
  <w:abstractNum w:abstractNumId="4" w15:restartNumberingAfterBreak="0">
    <w:nsid w:val="0AAC1962"/>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5" w15:restartNumberingAfterBreak="0">
    <w:nsid w:val="0B1F4FAD"/>
    <w:multiLevelType w:val="hybridMultilevel"/>
    <w:tmpl w:val="72106EFC"/>
    <w:lvl w:ilvl="0" w:tplc="0734D9DC">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0BEA3281"/>
    <w:multiLevelType w:val="hybridMultilevel"/>
    <w:tmpl w:val="A2AAFDB4"/>
    <w:lvl w:ilvl="0" w:tplc="8DB4B878">
      <w:start w:val="1"/>
      <w:numFmt w:val="bullet"/>
      <w:lvlText w:val=""/>
      <w:lvlJc w:val="left"/>
      <w:pPr>
        <w:ind w:left="720" w:hanging="360"/>
      </w:pPr>
      <w:rPr>
        <w:rFonts w:ascii="Symbol" w:hAnsi="Symbol"/>
      </w:rPr>
    </w:lvl>
    <w:lvl w:ilvl="1" w:tplc="530EABC6">
      <w:start w:val="1"/>
      <w:numFmt w:val="bullet"/>
      <w:lvlText w:val=""/>
      <w:lvlJc w:val="left"/>
      <w:pPr>
        <w:ind w:left="720" w:hanging="360"/>
      </w:pPr>
      <w:rPr>
        <w:rFonts w:ascii="Symbol" w:hAnsi="Symbol"/>
      </w:rPr>
    </w:lvl>
    <w:lvl w:ilvl="2" w:tplc="35B0F014">
      <w:start w:val="1"/>
      <w:numFmt w:val="bullet"/>
      <w:lvlText w:val=""/>
      <w:lvlJc w:val="left"/>
      <w:pPr>
        <w:ind w:left="720" w:hanging="360"/>
      </w:pPr>
      <w:rPr>
        <w:rFonts w:ascii="Symbol" w:hAnsi="Symbol"/>
      </w:rPr>
    </w:lvl>
    <w:lvl w:ilvl="3" w:tplc="AF7A7B56">
      <w:start w:val="1"/>
      <w:numFmt w:val="bullet"/>
      <w:lvlText w:val=""/>
      <w:lvlJc w:val="left"/>
      <w:pPr>
        <w:ind w:left="720" w:hanging="360"/>
      </w:pPr>
      <w:rPr>
        <w:rFonts w:ascii="Symbol" w:hAnsi="Symbol"/>
      </w:rPr>
    </w:lvl>
    <w:lvl w:ilvl="4" w:tplc="2D1E5CD0">
      <w:start w:val="1"/>
      <w:numFmt w:val="bullet"/>
      <w:lvlText w:val=""/>
      <w:lvlJc w:val="left"/>
      <w:pPr>
        <w:ind w:left="720" w:hanging="360"/>
      </w:pPr>
      <w:rPr>
        <w:rFonts w:ascii="Symbol" w:hAnsi="Symbol"/>
      </w:rPr>
    </w:lvl>
    <w:lvl w:ilvl="5" w:tplc="0EF8C6F8">
      <w:start w:val="1"/>
      <w:numFmt w:val="bullet"/>
      <w:lvlText w:val=""/>
      <w:lvlJc w:val="left"/>
      <w:pPr>
        <w:ind w:left="720" w:hanging="360"/>
      </w:pPr>
      <w:rPr>
        <w:rFonts w:ascii="Symbol" w:hAnsi="Symbol"/>
      </w:rPr>
    </w:lvl>
    <w:lvl w:ilvl="6" w:tplc="C71632F4">
      <w:start w:val="1"/>
      <w:numFmt w:val="bullet"/>
      <w:lvlText w:val=""/>
      <w:lvlJc w:val="left"/>
      <w:pPr>
        <w:ind w:left="720" w:hanging="360"/>
      </w:pPr>
      <w:rPr>
        <w:rFonts w:ascii="Symbol" w:hAnsi="Symbol"/>
      </w:rPr>
    </w:lvl>
    <w:lvl w:ilvl="7" w:tplc="0F0A5AEE">
      <w:start w:val="1"/>
      <w:numFmt w:val="bullet"/>
      <w:lvlText w:val=""/>
      <w:lvlJc w:val="left"/>
      <w:pPr>
        <w:ind w:left="720" w:hanging="360"/>
      </w:pPr>
      <w:rPr>
        <w:rFonts w:ascii="Symbol" w:hAnsi="Symbol"/>
      </w:rPr>
    </w:lvl>
    <w:lvl w:ilvl="8" w:tplc="DB5864BC">
      <w:start w:val="1"/>
      <w:numFmt w:val="bullet"/>
      <w:lvlText w:val=""/>
      <w:lvlJc w:val="left"/>
      <w:pPr>
        <w:ind w:left="720" w:hanging="360"/>
      </w:pPr>
      <w:rPr>
        <w:rFonts w:ascii="Symbol" w:hAnsi="Symbol"/>
      </w:rPr>
    </w:lvl>
  </w:abstractNum>
  <w:abstractNum w:abstractNumId="7" w15:restartNumberingAfterBreak="0">
    <w:nsid w:val="0D0C3DF8"/>
    <w:multiLevelType w:val="hybridMultilevel"/>
    <w:tmpl w:val="1D84CD2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0F752C02"/>
    <w:multiLevelType w:val="hybridMultilevel"/>
    <w:tmpl w:val="FF2E3FDC"/>
    <w:lvl w:ilvl="0" w:tplc="E54AC3EC">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3932D08"/>
    <w:multiLevelType w:val="hybridMultilevel"/>
    <w:tmpl w:val="69C046E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6E61AA2"/>
    <w:multiLevelType w:val="multilevel"/>
    <w:tmpl w:val="D6E6D8D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9B32C3D"/>
    <w:multiLevelType w:val="hybridMultilevel"/>
    <w:tmpl w:val="C15EDB7E"/>
    <w:lvl w:ilvl="0" w:tplc="F8F0C4CE">
      <w:start w:val="1"/>
      <w:numFmt w:val="bullet"/>
      <w:lvlText w:val=""/>
      <w:lvlJc w:val="left"/>
      <w:pPr>
        <w:ind w:left="720" w:hanging="360"/>
      </w:pPr>
      <w:rPr>
        <w:rFonts w:ascii="Symbol" w:hAnsi="Symbol"/>
      </w:rPr>
    </w:lvl>
    <w:lvl w:ilvl="1" w:tplc="A060EEB8">
      <w:start w:val="1"/>
      <w:numFmt w:val="bullet"/>
      <w:lvlText w:val=""/>
      <w:lvlJc w:val="left"/>
      <w:pPr>
        <w:ind w:left="720" w:hanging="360"/>
      </w:pPr>
      <w:rPr>
        <w:rFonts w:ascii="Symbol" w:hAnsi="Symbol"/>
      </w:rPr>
    </w:lvl>
    <w:lvl w:ilvl="2" w:tplc="A3C4208A">
      <w:start w:val="1"/>
      <w:numFmt w:val="bullet"/>
      <w:lvlText w:val=""/>
      <w:lvlJc w:val="left"/>
      <w:pPr>
        <w:ind w:left="720" w:hanging="360"/>
      </w:pPr>
      <w:rPr>
        <w:rFonts w:ascii="Symbol" w:hAnsi="Symbol"/>
      </w:rPr>
    </w:lvl>
    <w:lvl w:ilvl="3" w:tplc="BDAAB044">
      <w:start w:val="1"/>
      <w:numFmt w:val="bullet"/>
      <w:lvlText w:val=""/>
      <w:lvlJc w:val="left"/>
      <w:pPr>
        <w:ind w:left="720" w:hanging="360"/>
      </w:pPr>
      <w:rPr>
        <w:rFonts w:ascii="Symbol" w:hAnsi="Symbol"/>
      </w:rPr>
    </w:lvl>
    <w:lvl w:ilvl="4" w:tplc="A1FCAF1C">
      <w:start w:val="1"/>
      <w:numFmt w:val="bullet"/>
      <w:lvlText w:val=""/>
      <w:lvlJc w:val="left"/>
      <w:pPr>
        <w:ind w:left="720" w:hanging="360"/>
      </w:pPr>
      <w:rPr>
        <w:rFonts w:ascii="Symbol" w:hAnsi="Symbol"/>
      </w:rPr>
    </w:lvl>
    <w:lvl w:ilvl="5" w:tplc="45486BC4">
      <w:start w:val="1"/>
      <w:numFmt w:val="bullet"/>
      <w:lvlText w:val=""/>
      <w:lvlJc w:val="left"/>
      <w:pPr>
        <w:ind w:left="720" w:hanging="360"/>
      </w:pPr>
      <w:rPr>
        <w:rFonts w:ascii="Symbol" w:hAnsi="Symbol"/>
      </w:rPr>
    </w:lvl>
    <w:lvl w:ilvl="6" w:tplc="B55E6CA4">
      <w:start w:val="1"/>
      <w:numFmt w:val="bullet"/>
      <w:lvlText w:val=""/>
      <w:lvlJc w:val="left"/>
      <w:pPr>
        <w:ind w:left="720" w:hanging="360"/>
      </w:pPr>
      <w:rPr>
        <w:rFonts w:ascii="Symbol" w:hAnsi="Symbol"/>
      </w:rPr>
    </w:lvl>
    <w:lvl w:ilvl="7" w:tplc="3F724E02">
      <w:start w:val="1"/>
      <w:numFmt w:val="bullet"/>
      <w:lvlText w:val=""/>
      <w:lvlJc w:val="left"/>
      <w:pPr>
        <w:ind w:left="720" w:hanging="360"/>
      </w:pPr>
      <w:rPr>
        <w:rFonts w:ascii="Symbol" w:hAnsi="Symbol"/>
      </w:rPr>
    </w:lvl>
    <w:lvl w:ilvl="8" w:tplc="27148F94">
      <w:start w:val="1"/>
      <w:numFmt w:val="bullet"/>
      <w:lvlText w:val=""/>
      <w:lvlJc w:val="left"/>
      <w:pPr>
        <w:ind w:left="720" w:hanging="360"/>
      </w:pPr>
      <w:rPr>
        <w:rFonts w:ascii="Symbol" w:hAnsi="Symbol"/>
      </w:rPr>
    </w:lvl>
  </w:abstractNum>
  <w:abstractNum w:abstractNumId="12" w15:restartNumberingAfterBreak="0">
    <w:nsid w:val="225C51C0"/>
    <w:multiLevelType w:val="hybridMultilevel"/>
    <w:tmpl w:val="F4C4A82A"/>
    <w:lvl w:ilvl="0" w:tplc="DC8C7C50">
      <w:start w:val="1"/>
      <w:numFmt w:val="bullet"/>
      <w:lvlText w:val=""/>
      <w:lvlJc w:val="left"/>
      <w:pPr>
        <w:ind w:left="720" w:hanging="360"/>
      </w:pPr>
      <w:rPr>
        <w:rFonts w:ascii="Symbol" w:hAnsi="Symbol"/>
      </w:rPr>
    </w:lvl>
    <w:lvl w:ilvl="1" w:tplc="6ADE481E">
      <w:start w:val="1"/>
      <w:numFmt w:val="bullet"/>
      <w:lvlText w:val=""/>
      <w:lvlJc w:val="left"/>
      <w:pPr>
        <w:ind w:left="720" w:hanging="360"/>
      </w:pPr>
      <w:rPr>
        <w:rFonts w:ascii="Symbol" w:hAnsi="Symbol"/>
      </w:rPr>
    </w:lvl>
    <w:lvl w:ilvl="2" w:tplc="12ACA1B6">
      <w:start w:val="1"/>
      <w:numFmt w:val="bullet"/>
      <w:lvlText w:val=""/>
      <w:lvlJc w:val="left"/>
      <w:pPr>
        <w:ind w:left="720" w:hanging="360"/>
      </w:pPr>
      <w:rPr>
        <w:rFonts w:ascii="Symbol" w:hAnsi="Symbol"/>
      </w:rPr>
    </w:lvl>
    <w:lvl w:ilvl="3" w:tplc="52924690">
      <w:start w:val="1"/>
      <w:numFmt w:val="bullet"/>
      <w:lvlText w:val=""/>
      <w:lvlJc w:val="left"/>
      <w:pPr>
        <w:ind w:left="720" w:hanging="360"/>
      </w:pPr>
      <w:rPr>
        <w:rFonts w:ascii="Symbol" w:hAnsi="Symbol"/>
      </w:rPr>
    </w:lvl>
    <w:lvl w:ilvl="4" w:tplc="6832B900">
      <w:start w:val="1"/>
      <w:numFmt w:val="bullet"/>
      <w:lvlText w:val=""/>
      <w:lvlJc w:val="left"/>
      <w:pPr>
        <w:ind w:left="720" w:hanging="360"/>
      </w:pPr>
      <w:rPr>
        <w:rFonts w:ascii="Symbol" w:hAnsi="Symbol"/>
      </w:rPr>
    </w:lvl>
    <w:lvl w:ilvl="5" w:tplc="CF883162">
      <w:start w:val="1"/>
      <w:numFmt w:val="bullet"/>
      <w:lvlText w:val=""/>
      <w:lvlJc w:val="left"/>
      <w:pPr>
        <w:ind w:left="720" w:hanging="360"/>
      </w:pPr>
      <w:rPr>
        <w:rFonts w:ascii="Symbol" w:hAnsi="Symbol"/>
      </w:rPr>
    </w:lvl>
    <w:lvl w:ilvl="6" w:tplc="E2F0A6E8">
      <w:start w:val="1"/>
      <w:numFmt w:val="bullet"/>
      <w:lvlText w:val=""/>
      <w:lvlJc w:val="left"/>
      <w:pPr>
        <w:ind w:left="720" w:hanging="360"/>
      </w:pPr>
      <w:rPr>
        <w:rFonts w:ascii="Symbol" w:hAnsi="Symbol"/>
      </w:rPr>
    </w:lvl>
    <w:lvl w:ilvl="7" w:tplc="8EB65B06">
      <w:start w:val="1"/>
      <w:numFmt w:val="bullet"/>
      <w:lvlText w:val=""/>
      <w:lvlJc w:val="left"/>
      <w:pPr>
        <w:ind w:left="720" w:hanging="360"/>
      </w:pPr>
      <w:rPr>
        <w:rFonts w:ascii="Symbol" w:hAnsi="Symbol"/>
      </w:rPr>
    </w:lvl>
    <w:lvl w:ilvl="8" w:tplc="7CFEB9E2">
      <w:start w:val="1"/>
      <w:numFmt w:val="bullet"/>
      <w:lvlText w:val=""/>
      <w:lvlJc w:val="left"/>
      <w:pPr>
        <w:ind w:left="720" w:hanging="360"/>
      </w:pPr>
      <w:rPr>
        <w:rFonts w:ascii="Symbol" w:hAnsi="Symbol"/>
      </w:rPr>
    </w:lvl>
  </w:abstractNum>
  <w:abstractNum w:abstractNumId="13" w15:restartNumberingAfterBreak="0">
    <w:nsid w:val="232F0B3C"/>
    <w:multiLevelType w:val="hybridMultilevel"/>
    <w:tmpl w:val="3FD688E4"/>
    <w:lvl w:ilvl="0" w:tplc="2FCAE61C">
      <w:start w:val="1"/>
      <w:numFmt w:val="bullet"/>
      <w:lvlText w:val=""/>
      <w:lvlJc w:val="left"/>
      <w:pPr>
        <w:ind w:left="720" w:hanging="360"/>
      </w:pPr>
      <w:rPr>
        <w:rFonts w:ascii="Symbol" w:hAnsi="Symbol"/>
      </w:rPr>
    </w:lvl>
    <w:lvl w:ilvl="1" w:tplc="77B608BC">
      <w:start w:val="1"/>
      <w:numFmt w:val="bullet"/>
      <w:lvlText w:val=""/>
      <w:lvlJc w:val="left"/>
      <w:pPr>
        <w:ind w:left="720" w:hanging="360"/>
      </w:pPr>
      <w:rPr>
        <w:rFonts w:ascii="Symbol" w:hAnsi="Symbol"/>
      </w:rPr>
    </w:lvl>
    <w:lvl w:ilvl="2" w:tplc="831669D4">
      <w:start w:val="1"/>
      <w:numFmt w:val="bullet"/>
      <w:lvlText w:val=""/>
      <w:lvlJc w:val="left"/>
      <w:pPr>
        <w:ind w:left="720" w:hanging="360"/>
      </w:pPr>
      <w:rPr>
        <w:rFonts w:ascii="Symbol" w:hAnsi="Symbol"/>
      </w:rPr>
    </w:lvl>
    <w:lvl w:ilvl="3" w:tplc="87A688D4">
      <w:start w:val="1"/>
      <w:numFmt w:val="bullet"/>
      <w:lvlText w:val=""/>
      <w:lvlJc w:val="left"/>
      <w:pPr>
        <w:ind w:left="720" w:hanging="360"/>
      </w:pPr>
      <w:rPr>
        <w:rFonts w:ascii="Symbol" w:hAnsi="Symbol"/>
      </w:rPr>
    </w:lvl>
    <w:lvl w:ilvl="4" w:tplc="D7D23D58">
      <w:start w:val="1"/>
      <w:numFmt w:val="bullet"/>
      <w:lvlText w:val=""/>
      <w:lvlJc w:val="left"/>
      <w:pPr>
        <w:ind w:left="720" w:hanging="360"/>
      </w:pPr>
      <w:rPr>
        <w:rFonts w:ascii="Symbol" w:hAnsi="Symbol"/>
      </w:rPr>
    </w:lvl>
    <w:lvl w:ilvl="5" w:tplc="D8D05E84">
      <w:start w:val="1"/>
      <w:numFmt w:val="bullet"/>
      <w:lvlText w:val=""/>
      <w:lvlJc w:val="left"/>
      <w:pPr>
        <w:ind w:left="720" w:hanging="360"/>
      </w:pPr>
      <w:rPr>
        <w:rFonts w:ascii="Symbol" w:hAnsi="Symbol"/>
      </w:rPr>
    </w:lvl>
    <w:lvl w:ilvl="6" w:tplc="46EC20CE">
      <w:start w:val="1"/>
      <w:numFmt w:val="bullet"/>
      <w:lvlText w:val=""/>
      <w:lvlJc w:val="left"/>
      <w:pPr>
        <w:ind w:left="720" w:hanging="360"/>
      </w:pPr>
      <w:rPr>
        <w:rFonts w:ascii="Symbol" w:hAnsi="Symbol"/>
      </w:rPr>
    </w:lvl>
    <w:lvl w:ilvl="7" w:tplc="F23C6BA6">
      <w:start w:val="1"/>
      <w:numFmt w:val="bullet"/>
      <w:lvlText w:val=""/>
      <w:lvlJc w:val="left"/>
      <w:pPr>
        <w:ind w:left="720" w:hanging="360"/>
      </w:pPr>
      <w:rPr>
        <w:rFonts w:ascii="Symbol" w:hAnsi="Symbol"/>
      </w:rPr>
    </w:lvl>
    <w:lvl w:ilvl="8" w:tplc="1848BFC4">
      <w:start w:val="1"/>
      <w:numFmt w:val="bullet"/>
      <w:lvlText w:val=""/>
      <w:lvlJc w:val="left"/>
      <w:pPr>
        <w:ind w:left="720" w:hanging="360"/>
      </w:pPr>
      <w:rPr>
        <w:rFonts w:ascii="Symbol" w:hAnsi="Symbol"/>
      </w:rPr>
    </w:lvl>
  </w:abstractNum>
  <w:abstractNum w:abstractNumId="14" w15:restartNumberingAfterBreak="0">
    <w:nsid w:val="24767EB7"/>
    <w:multiLevelType w:val="hybridMultilevel"/>
    <w:tmpl w:val="205E0EF4"/>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5794AF5"/>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6" w15:restartNumberingAfterBreak="0">
    <w:nsid w:val="25AB4FD5"/>
    <w:multiLevelType w:val="hybridMultilevel"/>
    <w:tmpl w:val="45C0486A"/>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28462F16"/>
    <w:multiLevelType w:val="hybridMultilevel"/>
    <w:tmpl w:val="12326988"/>
    <w:lvl w:ilvl="0" w:tplc="01D47438">
      <w:start w:val="1"/>
      <w:numFmt w:val="bullet"/>
      <w:lvlText w:val=""/>
      <w:lvlJc w:val="left"/>
      <w:pPr>
        <w:ind w:left="720" w:hanging="360"/>
      </w:pPr>
      <w:rPr>
        <w:rFonts w:ascii="Symbol" w:hAnsi="Symbol"/>
      </w:rPr>
    </w:lvl>
    <w:lvl w:ilvl="1" w:tplc="1C5C62C2">
      <w:start w:val="1"/>
      <w:numFmt w:val="bullet"/>
      <w:lvlText w:val=""/>
      <w:lvlJc w:val="left"/>
      <w:pPr>
        <w:ind w:left="720" w:hanging="360"/>
      </w:pPr>
      <w:rPr>
        <w:rFonts w:ascii="Symbol" w:hAnsi="Symbol"/>
      </w:rPr>
    </w:lvl>
    <w:lvl w:ilvl="2" w:tplc="2D684300">
      <w:start w:val="1"/>
      <w:numFmt w:val="bullet"/>
      <w:lvlText w:val=""/>
      <w:lvlJc w:val="left"/>
      <w:pPr>
        <w:ind w:left="720" w:hanging="360"/>
      </w:pPr>
      <w:rPr>
        <w:rFonts w:ascii="Symbol" w:hAnsi="Symbol"/>
      </w:rPr>
    </w:lvl>
    <w:lvl w:ilvl="3" w:tplc="EB3C1BB4">
      <w:start w:val="1"/>
      <w:numFmt w:val="bullet"/>
      <w:lvlText w:val=""/>
      <w:lvlJc w:val="left"/>
      <w:pPr>
        <w:ind w:left="720" w:hanging="360"/>
      </w:pPr>
      <w:rPr>
        <w:rFonts w:ascii="Symbol" w:hAnsi="Symbol"/>
      </w:rPr>
    </w:lvl>
    <w:lvl w:ilvl="4" w:tplc="2FCE42C6">
      <w:start w:val="1"/>
      <w:numFmt w:val="bullet"/>
      <w:lvlText w:val=""/>
      <w:lvlJc w:val="left"/>
      <w:pPr>
        <w:ind w:left="720" w:hanging="360"/>
      </w:pPr>
      <w:rPr>
        <w:rFonts w:ascii="Symbol" w:hAnsi="Symbol"/>
      </w:rPr>
    </w:lvl>
    <w:lvl w:ilvl="5" w:tplc="179E599E">
      <w:start w:val="1"/>
      <w:numFmt w:val="bullet"/>
      <w:lvlText w:val=""/>
      <w:lvlJc w:val="left"/>
      <w:pPr>
        <w:ind w:left="720" w:hanging="360"/>
      </w:pPr>
      <w:rPr>
        <w:rFonts w:ascii="Symbol" w:hAnsi="Symbol"/>
      </w:rPr>
    </w:lvl>
    <w:lvl w:ilvl="6" w:tplc="78ACD6E6">
      <w:start w:val="1"/>
      <w:numFmt w:val="bullet"/>
      <w:lvlText w:val=""/>
      <w:lvlJc w:val="left"/>
      <w:pPr>
        <w:ind w:left="720" w:hanging="360"/>
      </w:pPr>
      <w:rPr>
        <w:rFonts w:ascii="Symbol" w:hAnsi="Symbol"/>
      </w:rPr>
    </w:lvl>
    <w:lvl w:ilvl="7" w:tplc="E23806B8">
      <w:start w:val="1"/>
      <w:numFmt w:val="bullet"/>
      <w:lvlText w:val=""/>
      <w:lvlJc w:val="left"/>
      <w:pPr>
        <w:ind w:left="720" w:hanging="360"/>
      </w:pPr>
      <w:rPr>
        <w:rFonts w:ascii="Symbol" w:hAnsi="Symbol"/>
      </w:rPr>
    </w:lvl>
    <w:lvl w:ilvl="8" w:tplc="21B68822">
      <w:start w:val="1"/>
      <w:numFmt w:val="bullet"/>
      <w:lvlText w:val=""/>
      <w:lvlJc w:val="left"/>
      <w:pPr>
        <w:ind w:left="720" w:hanging="360"/>
      </w:pPr>
      <w:rPr>
        <w:rFonts w:ascii="Symbol" w:hAnsi="Symbol"/>
      </w:rPr>
    </w:lvl>
  </w:abstractNum>
  <w:abstractNum w:abstractNumId="18" w15:restartNumberingAfterBreak="0">
    <w:nsid w:val="2B7433D8"/>
    <w:multiLevelType w:val="hybridMultilevel"/>
    <w:tmpl w:val="2EA27122"/>
    <w:lvl w:ilvl="0" w:tplc="860E636E">
      <w:start w:val="1"/>
      <w:numFmt w:val="bullet"/>
      <w:lvlText w:val=""/>
      <w:lvlJc w:val="left"/>
      <w:pPr>
        <w:ind w:left="720" w:hanging="360"/>
      </w:pPr>
      <w:rPr>
        <w:rFonts w:ascii="Symbol" w:hAnsi="Symbol"/>
      </w:rPr>
    </w:lvl>
    <w:lvl w:ilvl="1" w:tplc="CC601BFC">
      <w:start w:val="1"/>
      <w:numFmt w:val="bullet"/>
      <w:lvlText w:val=""/>
      <w:lvlJc w:val="left"/>
      <w:pPr>
        <w:ind w:left="720" w:hanging="360"/>
      </w:pPr>
      <w:rPr>
        <w:rFonts w:ascii="Symbol" w:hAnsi="Symbol"/>
      </w:rPr>
    </w:lvl>
    <w:lvl w:ilvl="2" w:tplc="F2962462">
      <w:start w:val="1"/>
      <w:numFmt w:val="bullet"/>
      <w:lvlText w:val=""/>
      <w:lvlJc w:val="left"/>
      <w:pPr>
        <w:ind w:left="720" w:hanging="360"/>
      </w:pPr>
      <w:rPr>
        <w:rFonts w:ascii="Symbol" w:hAnsi="Symbol"/>
      </w:rPr>
    </w:lvl>
    <w:lvl w:ilvl="3" w:tplc="3C783F72">
      <w:start w:val="1"/>
      <w:numFmt w:val="bullet"/>
      <w:lvlText w:val=""/>
      <w:lvlJc w:val="left"/>
      <w:pPr>
        <w:ind w:left="720" w:hanging="360"/>
      </w:pPr>
      <w:rPr>
        <w:rFonts w:ascii="Symbol" w:hAnsi="Symbol"/>
      </w:rPr>
    </w:lvl>
    <w:lvl w:ilvl="4" w:tplc="6A2EE350">
      <w:start w:val="1"/>
      <w:numFmt w:val="bullet"/>
      <w:lvlText w:val=""/>
      <w:lvlJc w:val="left"/>
      <w:pPr>
        <w:ind w:left="720" w:hanging="360"/>
      </w:pPr>
      <w:rPr>
        <w:rFonts w:ascii="Symbol" w:hAnsi="Symbol"/>
      </w:rPr>
    </w:lvl>
    <w:lvl w:ilvl="5" w:tplc="11C870DE">
      <w:start w:val="1"/>
      <w:numFmt w:val="bullet"/>
      <w:lvlText w:val=""/>
      <w:lvlJc w:val="left"/>
      <w:pPr>
        <w:ind w:left="720" w:hanging="360"/>
      </w:pPr>
      <w:rPr>
        <w:rFonts w:ascii="Symbol" w:hAnsi="Symbol"/>
      </w:rPr>
    </w:lvl>
    <w:lvl w:ilvl="6" w:tplc="653C175E">
      <w:start w:val="1"/>
      <w:numFmt w:val="bullet"/>
      <w:lvlText w:val=""/>
      <w:lvlJc w:val="left"/>
      <w:pPr>
        <w:ind w:left="720" w:hanging="360"/>
      </w:pPr>
      <w:rPr>
        <w:rFonts w:ascii="Symbol" w:hAnsi="Symbol"/>
      </w:rPr>
    </w:lvl>
    <w:lvl w:ilvl="7" w:tplc="BE6231B8">
      <w:start w:val="1"/>
      <w:numFmt w:val="bullet"/>
      <w:lvlText w:val=""/>
      <w:lvlJc w:val="left"/>
      <w:pPr>
        <w:ind w:left="720" w:hanging="360"/>
      </w:pPr>
      <w:rPr>
        <w:rFonts w:ascii="Symbol" w:hAnsi="Symbol"/>
      </w:rPr>
    </w:lvl>
    <w:lvl w:ilvl="8" w:tplc="CEC28EF2">
      <w:start w:val="1"/>
      <w:numFmt w:val="bullet"/>
      <w:lvlText w:val=""/>
      <w:lvlJc w:val="left"/>
      <w:pPr>
        <w:ind w:left="720" w:hanging="360"/>
      </w:pPr>
      <w:rPr>
        <w:rFonts w:ascii="Symbol" w:hAnsi="Symbol"/>
      </w:rPr>
    </w:lvl>
  </w:abstractNum>
  <w:abstractNum w:abstractNumId="19" w15:restartNumberingAfterBreak="0">
    <w:nsid w:val="30957768"/>
    <w:multiLevelType w:val="hybridMultilevel"/>
    <w:tmpl w:val="25C091EC"/>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1CC1CA2"/>
    <w:multiLevelType w:val="hybridMultilevel"/>
    <w:tmpl w:val="AF607C4E"/>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34944C6D"/>
    <w:multiLevelType w:val="multilevel"/>
    <w:tmpl w:val="FF2A9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430F79"/>
    <w:multiLevelType w:val="hybridMultilevel"/>
    <w:tmpl w:val="86B66356"/>
    <w:lvl w:ilvl="0" w:tplc="141A000F">
      <w:start w:val="5"/>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15:restartNumberingAfterBreak="0">
    <w:nsid w:val="36FB7893"/>
    <w:multiLevelType w:val="hybridMultilevel"/>
    <w:tmpl w:val="40D45726"/>
    <w:lvl w:ilvl="0" w:tplc="D04C89A8">
      <w:start w:val="1"/>
      <w:numFmt w:val="bullet"/>
      <w:lvlText w:val=""/>
      <w:lvlJc w:val="left"/>
      <w:pPr>
        <w:ind w:left="720" w:hanging="360"/>
      </w:pPr>
      <w:rPr>
        <w:rFonts w:ascii="Symbol" w:hAnsi="Symbol"/>
      </w:rPr>
    </w:lvl>
    <w:lvl w:ilvl="1" w:tplc="57B05EA6">
      <w:start w:val="1"/>
      <w:numFmt w:val="bullet"/>
      <w:lvlText w:val=""/>
      <w:lvlJc w:val="left"/>
      <w:pPr>
        <w:ind w:left="720" w:hanging="360"/>
      </w:pPr>
      <w:rPr>
        <w:rFonts w:ascii="Symbol" w:hAnsi="Symbol"/>
      </w:rPr>
    </w:lvl>
    <w:lvl w:ilvl="2" w:tplc="8F204C48">
      <w:start w:val="1"/>
      <w:numFmt w:val="bullet"/>
      <w:lvlText w:val=""/>
      <w:lvlJc w:val="left"/>
      <w:pPr>
        <w:ind w:left="720" w:hanging="360"/>
      </w:pPr>
      <w:rPr>
        <w:rFonts w:ascii="Symbol" w:hAnsi="Symbol"/>
      </w:rPr>
    </w:lvl>
    <w:lvl w:ilvl="3" w:tplc="F6C2344E">
      <w:start w:val="1"/>
      <w:numFmt w:val="bullet"/>
      <w:lvlText w:val=""/>
      <w:lvlJc w:val="left"/>
      <w:pPr>
        <w:ind w:left="720" w:hanging="360"/>
      </w:pPr>
      <w:rPr>
        <w:rFonts w:ascii="Symbol" w:hAnsi="Symbol"/>
      </w:rPr>
    </w:lvl>
    <w:lvl w:ilvl="4" w:tplc="F9FCE2AC">
      <w:start w:val="1"/>
      <w:numFmt w:val="bullet"/>
      <w:lvlText w:val=""/>
      <w:lvlJc w:val="left"/>
      <w:pPr>
        <w:ind w:left="720" w:hanging="360"/>
      </w:pPr>
      <w:rPr>
        <w:rFonts w:ascii="Symbol" w:hAnsi="Symbol"/>
      </w:rPr>
    </w:lvl>
    <w:lvl w:ilvl="5" w:tplc="7DCA2A46">
      <w:start w:val="1"/>
      <w:numFmt w:val="bullet"/>
      <w:lvlText w:val=""/>
      <w:lvlJc w:val="left"/>
      <w:pPr>
        <w:ind w:left="720" w:hanging="360"/>
      </w:pPr>
      <w:rPr>
        <w:rFonts w:ascii="Symbol" w:hAnsi="Symbol"/>
      </w:rPr>
    </w:lvl>
    <w:lvl w:ilvl="6" w:tplc="4D60AA90">
      <w:start w:val="1"/>
      <w:numFmt w:val="bullet"/>
      <w:lvlText w:val=""/>
      <w:lvlJc w:val="left"/>
      <w:pPr>
        <w:ind w:left="720" w:hanging="360"/>
      </w:pPr>
      <w:rPr>
        <w:rFonts w:ascii="Symbol" w:hAnsi="Symbol"/>
      </w:rPr>
    </w:lvl>
    <w:lvl w:ilvl="7" w:tplc="06A689E4">
      <w:start w:val="1"/>
      <w:numFmt w:val="bullet"/>
      <w:lvlText w:val=""/>
      <w:lvlJc w:val="left"/>
      <w:pPr>
        <w:ind w:left="720" w:hanging="360"/>
      </w:pPr>
      <w:rPr>
        <w:rFonts w:ascii="Symbol" w:hAnsi="Symbol"/>
      </w:rPr>
    </w:lvl>
    <w:lvl w:ilvl="8" w:tplc="9926F166">
      <w:start w:val="1"/>
      <w:numFmt w:val="bullet"/>
      <w:lvlText w:val=""/>
      <w:lvlJc w:val="left"/>
      <w:pPr>
        <w:ind w:left="720" w:hanging="360"/>
      </w:pPr>
      <w:rPr>
        <w:rFonts w:ascii="Symbol" w:hAnsi="Symbol"/>
      </w:rPr>
    </w:lvl>
  </w:abstractNum>
  <w:abstractNum w:abstractNumId="24" w15:restartNumberingAfterBreak="0">
    <w:nsid w:val="37240F64"/>
    <w:multiLevelType w:val="hybridMultilevel"/>
    <w:tmpl w:val="20A0FEE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48D979E5"/>
    <w:multiLevelType w:val="hybridMultilevel"/>
    <w:tmpl w:val="0BF888C0"/>
    <w:lvl w:ilvl="0" w:tplc="E54AC3EC">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C3373C5"/>
    <w:multiLevelType w:val="hybridMultilevel"/>
    <w:tmpl w:val="175A5C8C"/>
    <w:lvl w:ilvl="0" w:tplc="BDDA0448">
      <w:start w:val="1"/>
      <w:numFmt w:val="bullet"/>
      <w:lvlText w:val=""/>
      <w:lvlJc w:val="left"/>
      <w:pPr>
        <w:ind w:left="720" w:hanging="360"/>
      </w:pPr>
      <w:rPr>
        <w:rFonts w:ascii="Symbol" w:hAnsi="Symbol"/>
      </w:rPr>
    </w:lvl>
    <w:lvl w:ilvl="1" w:tplc="B1E4FD5C">
      <w:start w:val="1"/>
      <w:numFmt w:val="bullet"/>
      <w:lvlText w:val=""/>
      <w:lvlJc w:val="left"/>
      <w:pPr>
        <w:ind w:left="720" w:hanging="360"/>
      </w:pPr>
      <w:rPr>
        <w:rFonts w:ascii="Symbol" w:hAnsi="Symbol"/>
      </w:rPr>
    </w:lvl>
    <w:lvl w:ilvl="2" w:tplc="6144F3C0">
      <w:start w:val="1"/>
      <w:numFmt w:val="bullet"/>
      <w:lvlText w:val=""/>
      <w:lvlJc w:val="left"/>
      <w:pPr>
        <w:ind w:left="720" w:hanging="360"/>
      </w:pPr>
      <w:rPr>
        <w:rFonts w:ascii="Symbol" w:hAnsi="Symbol"/>
      </w:rPr>
    </w:lvl>
    <w:lvl w:ilvl="3" w:tplc="93F21512">
      <w:start w:val="1"/>
      <w:numFmt w:val="bullet"/>
      <w:lvlText w:val=""/>
      <w:lvlJc w:val="left"/>
      <w:pPr>
        <w:ind w:left="720" w:hanging="360"/>
      </w:pPr>
      <w:rPr>
        <w:rFonts w:ascii="Symbol" w:hAnsi="Symbol"/>
      </w:rPr>
    </w:lvl>
    <w:lvl w:ilvl="4" w:tplc="9BBE696E">
      <w:start w:val="1"/>
      <w:numFmt w:val="bullet"/>
      <w:lvlText w:val=""/>
      <w:lvlJc w:val="left"/>
      <w:pPr>
        <w:ind w:left="720" w:hanging="360"/>
      </w:pPr>
      <w:rPr>
        <w:rFonts w:ascii="Symbol" w:hAnsi="Symbol"/>
      </w:rPr>
    </w:lvl>
    <w:lvl w:ilvl="5" w:tplc="329254FC">
      <w:start w:val="1"/>
      <w:numFmt w:val="bullet"/>
      <w:lvlText w:val=""/>
      <w:lvlJc w:val="left"/>
      <w:pPr>
        <w:ind w:left="720" w:hanging="360"/>
      </w:pPr>
      <w:rPr>
        <w:rFonts w:ascii="Symbol" w:hAnsi="Symbol"/>
      </w:rPr>
    </w:lvl>
    <w:lvl w:ilvl="6" w:tplc="A0CE71D6">
      <w:start w:val="1"/>
      <w:numFmt w:val="bullet"/>
      <w:lvlText w:val=""/>
      <w:lvlJc w:val="left"/>
      <w:pPr>
        <w:ind w:left="720" w:hanging="360"/>
      </w:pPr>
      <w:rPr>
        <w:rFonts w:ascii="Symbol" w:hAnsi="Symbol"/>
      </w:rPr>
    </w:lvl>
    <w:lvl w:ilvl="7" w:tplc="990A8012">
      <w:start w:val="1"/>
      <w:numFmt w:val="bullet"/>
      <w:lvlText w:val=""/>
      <w:lvlJc w:val="left"/>
      <w:pPr>
        <w:ind w:left="720" w:hanging="360"/>
      </w:pPr>
      <w:rPr>
        <w:rFonts w:ascii="Symbol" w:hAnsi="Symbol"/>
      </w:rPr>
    </w:lvl>
    <w:lvl w:ilvl="8" w:tplc="94BEACB6">
      <w:start w:val="1"/>
      <w:numFmt w:val="bullet"/>
      <w:lvlText w:val=""/>
      <w:lvlJc w:val="left"/>
      <w:pPr>
        <w:ind w:left="720" w:hanging="360"/>
      </w:pPr>
      <w:rPr>
        <w:rFonts w:ascii="Symbol" w:hAnsi="Symbol"/>
      </w:rPr>
    </w:lvl>
  </w:abstractNum>
  <w:abstractNum w:abstractNumId="27" w15:restartNumberingAfterBreak="0">
    <w:nsid w:val="55BD0564"/>
    <w:multiLevelType w:val="hybridMultilevel"/>
    <w:tmpl w:val="FF2A9E0E"/>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8" w15:restartNumberingAfterBreak="0">
    <w:nsid w:val="56596DFE"/>
    <w:multiLevelType w:val="hybridMultilevel"/>
    <w:tmpl w:val="E0DAD13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5A5C42F0"/>
    <w:multiLevelType w:val="hybridMultilevel"/>
    <w:tmpl w:val="77AA21DA"/>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 w15:restartNumberingAfterBreak="0">
    <w:nsid w:val="5DEB48D9"/>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1" w15:restartNumberingAfterBreak="0">
    <w:nsid w:val="614D104B"/>
    <w:multiLevelType w:val="hybridMultilevel"/>
    <w:tmpl w:val="66344F38"/>
    <w:lvl w:ilvl="0" w:tplc="141A0017">
      <w:start w:val="1"/>
      <w:numFmt w:val="lowerLetter"/>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15:restartNumberingAfterBreak="0">
    <w:nsid w:val="723073BE"/>
    <w:multiLevelType w:val="hybridMultilevel"/>
    <w:tmpl w:val="1388C5D6"/>
    <w:lvl w:ilvl="0" w:tplc="470CF762">
      <w:start w:val="1"/>
      <w:numFmt w:val="bullet"/>
      <w:lvlText w:val=""/>
      <w:lvlJc w:val="left"/>
      <w:pPr>
        <w:ind w:left="720" w:hanging="360"/>
      </w:pPr>
      <w:rPr>
        <w:rFonts w:ascii="Symbol" w:hAnsi="Symbol"/>
      </w:rPr>
    </w:lvl>
    <w:lvl w:ilvl="1" w:tplc="F94A2FA0">
      <w:start w:val="1"/>
      <w:numFmt w:val="bullet"/>
      <w:lvlText w:val=""/>
      <w:lvlJc w:val="left"/>
      <w:pPr>
        <w:ind w:left="720" w:hanging="360"/>
      </w:pPr>
      <w:rPr>
        <w:rFonts w:ascii="Symbol" w:hAnsi="Symbol"/>
      </w:rPr>
    </w:lvl>
    <w:lvl w:ilvl="2" w:tplc="536CBCB4">
      <w:start w:val="1"/>
      <w:numFmt w:val="bullet"/>
      <w:lvlText w:val=""/>
      <w:lvlJc w:val="left"/>
      <w:pPr>
        <w:ind w:left="720" w:hanging="360"/>
      </w:pPr>
      <w:rPr>
        <w:rFonts w:ascii="Symbol" w:hAnsi="Symbol"/>
      </w:rPr>
    </w:lvl>
    <w:lvl w:ilvl="3" w:tplc="CB0059C4">
      <w:start w:val="1"/>
      <w:numFmt w:val="bullet"/>
      <w:lvlText w:val=""/>
      <w:lvlJc w:val="left"/>
      <w:pPr>
        <w:ind w:left="720" w:hanging="360"/>
      </w:pPr>
      <w:rPr>
        <w:rFonts w:ascii="Symbol" w:hAnsi="Symbol"/>
      </w:rPr>
    </w:lvl>
    <w:lvl w:ilvl="4" w:tplc="4210E788">
      <w:start w:val="1"/>
      <w:numFmt w:val="bullet"/>
      <w:lvlText w:val=""/>
      <w:lvlJc w:val="left"/>
      <w:pPr>
        <w:ind w:left="720" w:hanging="360"/>
      </w:pPr>
      <w:rPr>
        <w:rFonts w:ascii="Symbol" w:hAnsi="Symbol"/>
      </w:rPr>
    </w:lvl>
    <w:lvl w:ilvl="5" w:tplc="02BA1336">
      <w:start w:val="1"/>
      <w:numFmt w:val="bullet"/>
      <w:lvlText w:val=""/>
      <w:lvlJc w:val="left"/>
      <w:pPr>
        <w:ind w:left="720" w:hanging="360"/>
      </w:pPr>
      <w:rPr>
        <w:rFonts w:ascii="Symbol" w:hAnsi="Symbol"/>
      </w:rPr>
    </w:lvl>
    <w:lvl w:ilvl="6" w:tplc="72C0C4D0">
      <w:start w:val="1"/>
      <w:numFmt w:val="bullet"/>
      <w:lvlText w:val=""/>
      <w:lvlJc w:val="left"/>
      <w:pPr>
        <w:ind w:left="720" w:hanging="360"/>
      </w:pPr>
      <w:rPr>
        <w:rFonts w:ascii="Symbol" w:hAnsi="Symbol"/>
      </w:rPr>
    </w:lvl>
    <w:lvl w:ilvl="7" w:tplc="E1E4A33A">
      <w:start w:val="1"/>
      <w:numFmt w:val="bullet"/>
      <w:lvlText w:val=""/>
      <w:lvlJc w:val="left"/>
      <w:pPr>
        <w:ind w:left="720" w:hanging="360"/>
      </w:pPr>
      <w:rPr>
        <w:rFonts w:ascii="Symbol" w:hAnsi="Symbol"/>
      </w:rPr>
    </w:lvl>
    <w:lvl w:ilvl="8" w:tplc="7A742BD8">
      <w:start w:val="1"/>
      <w:numFmt w:val="bullet"/>
      <w:lvlText w:val=""/>
      <w:lvlJc w:val="left"/>
      <w:pPr>
        <w:ind w:left="720" w:hanging="360"/>
      </w:pPr>
      <w:rPr>
        <w:rFonts w:ascii="Symbol" w:hAnsi="Symbol"/>
      </w:rPr>
    </w:lvl>
  </w:abstractNum>
  <w:abstractNum w:abstractNumId="33" w15:restartNumberingAfterBreak="0">
    <w:nsid w:val="7EC806A0"/>
    <w:multiLevelType w:val="hybridMultilevel"/>
    <w:tmpl w:val="D2AEED84"/>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1"/>
  </w:num>
  <w:num w:numId="4">
    <w:abstractNumId w:val="28"/>
  </w:num>
  <w:num w:numId="5">
    <w:abstractNumId w:val="7"/>
  </w:num>
  <w:num w:numId="6">
    <w:abstractNumId w:val="30"/>
  </w:num>
  <w:num w:numId="7">
    <w:abstractNumId w:val="15"/>
  </w:num>
  <w:num w:numId="8">
    <w:abstractNumId w:val="5"/>
  </w:num>
  <w:num w:numId="9">
    <w:abstractNumId w:val="22"/>
  </w:num>
  <w:num w:numId="10">
    <w:abstractNumId w:val="14"/>
  </w:num>
  <w:num w:numId="11">
    <w:abstractNumId w:val="10"/>
  </w:num>
  <w:num w:numId="12">
    <w:abstractNumId w:val="16"/>
  </w:num>
  <w:num w:numId="13">
    <w:abstractNumId w:val="9"/>
  </w:num>
  <w:num w:numId="14">
    <w:abstractNumId w:val="20"/>
  </w:num>
  <w:num w:numId="15">
    <w:abstractNumId w:val="1"/>
  </w:num>
  <w:num w:numId="16">
    <w:abstractNumId w:val="33"/>
  </w:num>
  <w:num w:numId="17">
    <w:abstractNumId w:val="2"/>
  </w:num>
  <w:num w:numId="18">
    <w:abstractNumId w:val="29"/>
  </w:num>
  <w:num w:numId="19">
    <w:abstractNumId w:val="0"/>
  </w:num>
  <w:num w:numId="20">
    <w:abstractNumId w:val="8"/>
  </w:num>
  <w:num w:numId="21">
    <w:abstractNumId w:val="25"/>
  </w:num>
  <w:num w:numId="22">
    <w:abstractNumId w:val="19"/>
  </w:num>
  <w:num w:numId="23">
    <w:abstractNumId w:val="31"/>
  </w:num>
  <w:num w:numId="24">
    <w:abstractNumId w:val="24"/>
  </w:num>
  <w:num w:numId="25">
    <w:abstractNumId w:val="3"/>
  </w:num>
  <w:num w:numId="26">
    <w:abstractNumId w:val="17"/>
  </w:num>
  <w:num w:numId="27">
    <w:abstractNumId w:val="32"/>
  </w:num>
  <w:num w:numId="28">
    <w:abstractNumId w:val="13"/>
  </w:num>
  <w:num w:numId="29">
    <w:abstractNumId w:val="12"/>
  </w:num>
  <w:num w:numId="30">
    <w:abstractNumId w:val="11"/>
  </w:num>
  <w:num w:numId="31">
    <w:abstractNumId w:val="23"/>
  </w:num>
  <w:num w:numId="32">
    <w:abstractNumId w:val="18"/>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FE"/>
    <w:rsid w:val="00132B58"/>
    <w:rsid w:val="001432AF"/>
    <w:rsid w:val="00153CAD"/>
    <w:rsid w:val="001605AB"/>
    <w:rsid w:val="001B32B1"/>
    <w:rsid w:val="001C6D30"/>
    <w:rsid w:val="001F7396"/>
    <w:rsid w:val="00216A84"/>
    <w:rsid w:val="0021767C"/>
    <w:rsid w:val="0025036A"/>
    <w:rsid w:val="002571E2"/>
    <w:rsid w:val="002E4A41"/>
    <w:rsid w:val="002E7619"/>
    <w:rsid w:val="002F06C3"/>
    <w:rsid w:val="00341472"/>
    <w:rsid w:val="00343303"/>
    <w:rsid w:val="00365FE6"/>
    <w:rsid w:val="00366A8F"/>
    <w:rsid w:val="00381A99"/>
    <w:rsid w:val="003A4FF9"/>
    <w:rsid w:val="003F08B9"/>
    <w:rsid w:val="00481223"/>
    <w:rsid w:val="00497B74"/>
    <w:rsid w:val="004C2474"/>
    <w:rsid w:val="00546ADD"/>
    <w:rsid w:val="0059704F"/>
    <w:rsid w:val="005A00CE"/>
    <w:rsid w:val="005A0254"/>
    <w:rsid w:val="005C2030"/>
    <w:rsid w:val="006122F1"/>
    <w:rsid w:val="0064606E"/>
    <w:rsid w:val="00646C04"/>
    <w:rsid w:val="006506DD"/>
    <w:rsid w:val="006571C5"/>
    <w:rsid w:val="0066310B"/>
    <w:rsid w:val="00681C88"/>
    <w:rsid w:val="006C7731"/>
    <w:rsid w:val="006E219A"/>
    <w:rsid w:val="006F1148"/>
    <w:rsid w:val="006F4E29"/>
    <w:rsid w:val="007050BF"/>
    <w:rsid w:val="00717BED"/>
    <w:rsid w:val="007663DB"/>
    <w:rsid w:val="0078434E"/>
    <w:rsid w:val="007F75AD"/>
    <w:rsid w:val="00810CCF"/>
    <w:rsid w:val="00862A00"/>
    <w:rsid w:val="008D76BD"/>
    <w:rsid w:val="009158B7"/>
    <w:rsid w:val="00961D45"/>
    <w:rsid w:val="00983F9B"/>
    <w:rsid w:val="009B195D"/>
    <w:rsid w:val="009F1475"/>
    <w:rsid w:val="009F1D7D"/>
    <w:rsid w:val="009F2825"/>
    <w:rsid w:val="00A02461"/>
    <w:rsid w:val="00A026FC"/>
    <w:rsid w:val="00AC44A6"/>
    <w:rsid w:val="00AE47BE"/>
    <w:rsid w:val="00B20EFD"/>
    <w:rsid w:val="00B52FA6"/>
    <w:rsid w:val="00B86EDB"/>
    <w:rsid w:val="00BE278B"/>
    <w:rsid w:val="00C011CD"/>
    <w:rsid w:val="00C20BA7"/>
    <w:rsid w:val="00CA5D62"/>
    <w:rsid w:val="00CB05A2"/>
    <w:rsid w:val="00CD17FF"/>
    <w:rsid w:val="00CF5A73"/>
    <w:rsid w:val="00D47243"/>
    <w:rsid w:val="00D80419"/>
    <w:rsid w:val="00DD37E6"/>
    <w:rsid w:val="00E03958"/>
    <w:rsid w:val="00E420D3"/>
    <w:rsid w:val="00E9073B"/>
    <w:rsid w:val="00EA08EB"/>
    <w:rsid w:val="00EA7D35"/>
    <w:rsid w:val="00EE4BFE"/>
    <w:rsid w:val="00F04FC9"/>
    <w:rsid w:val="00F27B3B"/>
    <w:rsid w:val="00F67329"/>
    <w:rsid w:val="00FC4043"/>
    <w:rsid w:val="00FD4CDB"/>
    <w:rsid w:val="00FE254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0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60" w:lineRule="auto"/>
    </w:pPr>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bs-Latn-BA" w:eastAsia="bs-Latn-BA"/>
    </w:rPr>
  </w:style>
  <w:style w:type="character" w:styleId="EndnoteReference">
    <w:name w:val="end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bs-Latn-BA" w:eastAsia="bs-Latn-BA"/>
    </w:rPr>
  </w:style>
  <w:style w:type="character" w:styleId="FootnoteReference">
    <w:name w:val="footnote reference"/>
    <w:rPr>
      <w:vertAlign w:val="superscript"/>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mbria" w:eastAsia="Times New Roman" w:hAnsi="Cambria" w:cs="Times New Roman"/>
      <w:b/>
      <w:bCs/>
      <w:kern w:val="32"/>
      <w:sz w:val="32"/>
      <w:szCs w:val="32"/>
      <w:lang w:val="bs-Latn-BA" w:eastAsia="bs-Latn-B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Spacing">
    <w:name w:val="No Spacing"/>
    <w:uiPriority w:val="1"/>
    <w:qFormat/>
    <w:rPr>
      <w:sz w:val="24"/>
      <w:szCs w:val="24"/>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semiHidden/>
    <w:unhideWhenUsed/>
    <w:rsid w:val="006F114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F1148"/>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1874">
      <w:bodyDiv w:val="1"/>
      <w:marLeft w:val="0"/>
      <w:marRight w:val="0"/>
      <w:marTop w:val="0"/>
      <w:marBottom w:val="0"/>
      <w:divBdr>
        <w:top w:val="none" w:sz="0" w:space="0" w:color="auto"/>
        <w:left w:val="none" w:sz="0" w:space="0" w:color="auto"/>
        <w:bottom w:val="none" w:sz="0" w:space="0" w:color="auto"/>
        <w:right w:val="none" w:sz="0" w:space="0" w:color="auto"/>
      </w:divBdr>
    </w:div>
    <w:div w:id="147475966">
      <w:bodyDiv w:val="1"/>
      <w:marLeft w:val="0"/>
      <w:marRight w:val="0"/>
      <w:marTop w:val="0"/>
      <w:marBottom w:val="0"/>
      <w:divBdr>
        <w:top w:val="none" w:sz="0" w:space="0" w:color="auto"/>
        <w:left w:val="none" w:sz="0" w:space="0" w:color="auto"/>
        <w:bottom w:val="none" w:sz="0" w:space="0" w:color="auto"/>
        <w:right w:val="none" w:sz="0" w:space="0" w:color="auto"/>
      </w:divBdr>
    </w:div>
    <w:div w:id="299968011">
      <w:bodyDiv w:val="1"/>
      <w:marLeft w:val="0"/>
      <w:marRight w:val="0"/>
      <w:marTop w:val="0"/>
      <w:marBottom w:val="0"/>
      <w:divBdr>
        <w:top w:val="none" w:sz="0" w:space="0" w:color="auto"/>
        <w:left w:val="none" w:sz="0" w:space="0" w:color="auto"/>
        <w:bottom w:val="none" w:sz="0" w:space="0" w:color="auto"/>
        <w:right w:val="none" w:sz="0" w:space="0" w:color="auto"/>
      </w:divBdr>
    </w:div>
    <w:div w:id="317853549">
      <w:bodyDiv w:val="1"/>
      <w:marLeft w:val="0"/>
      <w:marRight w:val="0"/>
      <w:marTop w:val="0"/>
      <w:marBottom w:val="0"/>
      <w:divBdr>
        <w:top w:val="none" w:sz="0" w:space="0" w:color="auto"/>
        <w:left w:val="none" w:sz="0" w:space="0" w:color="auto"/>
        <w:bottom w:val="none" w:sz="0" w:space="0" w:color="auto"/>
        <w:right w:val="none" w:sz="0" w:space="0" w:color="auto"/>
      </w:divBdr>
    </w:div>
    <w:div w:id="444931139">
      <w:bodyDiv w:val="1"/>
      <w:marLeft w:val="0"/>
      <w:marRight w:val="0"/>
      <w:marTop w:val="0"/>
      <w:marBottom w:val="0"/>
      <w:divBdr>
        <w:top w:val="none" w:sz="0" w:space="0" w:color="auto"/>
        <w:left w:val="none" w:sz="0" w:space="0" w:color="auto"/>
        <w:bottom w:val="none" w:sz="0" w:space="0" w:color="auto"/>
        <w:right w:val="none" w:sz="0" w:space="0" w:color="auto"/>
      </w:divBdr>
    </w:div>
    <w:div w:id="536968262">
      <w:bodyDiv w:val="1"/>
      <w:marLeft w:val="0"/>
      <w:marRight w:val="0"/>
      <w:marTop w:val="0"/>
      <w:marBottom w:val="0"/>
      <w:divBdr>
        <w:top w:val="none" w:sz="0" w:space="0" w:color="auto"/>
        <w:left w:val="none" w:sz="0" w:space="0" w:color="auto"/>
        <w:bottom w:val="none" w:sz="0" w:space="0" w:color="auto"/>
        <w:right w:val="none" w:sz="0" w:space="0" w:color="auto"/>
      </w:divBdr>
    </w:div>
    <w:div w:id="615403780">
      <w:bodyDiv w:val="1"/>
      <w:marLeft w:val="0"/>
      <w:marRight w:val="0"/>
      <w:marTop w:val="0"/>
      <w:marBottom w:val="0"/>
      <w:divBdr>
        <w:top w:val="none" w:sz="0" w:space="0" w:color="auto"/>
        <w:left w:val="none" w:sz="0" w:space="0" w:color="auto"/>
        <w:bottom w:val="none" w:sz="0" w:space="0" w:color="auto"/>
        <w:right w:val="none" w:sz="0" w:space="0" w:color="auto"/>
      </w:divBdr>
    </w:div>
    <w:div w:id="645744489">
      <w:bodyDiv w:val="1"/>
      <w:marLeft w:val="0"/>
      <w:marRight w:val="0"/>
      <w:marTop w:val="0"/>
      <w:marBottom w:val="0"/>
      <w:divBdr>
        <w:top w:val="none" w:sz="0" w:space="0" w:color="auto"/>
        <w:left w:val="none" w:sz="0" w:space="0" w:color="auto"/>
        <w:bottom w:val="none" w:sz="0" w:space="0" w:color="auto"/>
        <w:right w:val="none" w:sz="0" w:space="0" w:color="auto"/>
      </w:divBdr>
    </w:div>
    <w:div w:id="648553037">
      <w:bodyDiv w:val="1"/>
      <w:marLeft w:val="0"/>
      <w:marRight w:val="0"/>
      <w:marTop w:val="0"/>
      <w:marBottom w:val="0"/>
      <w:divBdr>
        <w:top w:val="none" w:sz="0" w:space="0" w:color="auto"/>
        <w:left w:val="none" w:sz="0" w:space="0" w:color="auto"/>
        <w:bottom w:val="none" w:sz="0" w:space="0" w:color="auto"/>
        <w:right w:val="none" w:sz="0" w:space="0" w:color="auto"/>
      </w:divBdr>
    </w:div>
    <w:div w:id="730464598">
      <w:bodyDiv w:val="1"/>
      <w:marLeft w:val="0"/>
      <w:marRight w:val="0"/>
      <w:marTop w:val="0"/>
      <w:marBottom w:val="0"/>
      <w:divBdr>
        <w:top w:val="none" w:sz="0" w:space="0" w:color="auto"/>
        <w:left w:val="none" w:sz="0" w:space="0" w:color="auto"/>
        <w:bottom w:val="none" w:sz="0" w:space="0" w:color="auto"/>
        <w:right w:val="none" w:sz="0" w:space="0" w:color="auto"/>
      </w:divBdr>
    </w:div>
    <w:div w:id="780489115">
      <w:bodyDiv w:val="1"/>
      <w:marLeft w:val="0"/>
      <w:marRight w:val="0"/>
      <w:marTop w:val="0"/>
      <w:marBottom w:val="0"/>
      <w:divBdr>
        <w:top w:val="none" w:sz="0" w:space="0" w:color="auto"/>
        <w:left w:val="none" w:sz="0" w:space="0" w:color="auto"/>
        <w:bottom w:val="none" w:sz="0" w:space="0" w:color="auto"/>
        <w:right w:val="none" w:sz="0" w:space="0" w:color="auto"/>
      </w:divBdr>
    </w:div>
    <w:div w:id="843519005">
      <w:bodyDiv w:val="1"/>
      <w:marLeft w:val="0"/>
      <w:marRight w:val="0"/>
      <w:marTop w:val="0"/>
      <w:marBottom w:val="0"/>
      <w:divBdr>
        <w:top w:val="none" w:sz="0" w:space="0" w:color="auto"/>
        <w:left w:val="none" w:sz="0" w:space="0" w:color="auto"/>
        <w:bottom w:val="none" w:sz="0" w:space="0" w:color="auto"/>
        <w:right w:val="none" w:sz="0" w:space="0" w:color="auto"/>
      </w:divBdr>
    </w:div>
    <w:div w:id="1046369972">
      <w:bodyDiv w:val="1"/>
      <w:marLeft w:val="0"/>
      <w:marRight w:val="0"/>
      <w:marTop w:val="0"/>
      <w:marBottom w:val="0"/>
      <w:divBdr>
        <w:top w:val="none" w:sz="0" w:space="0" w:color="auto"/>
        <w:left w:val="none" w:sz="0" w:space="0" w:color="auto"/>
        <w:bottom w:val="none" w:sz="0" w:space="0" w:color="auto"/>
        <w:right w:val="none" w:sz="0" w:space="0" w:color="auto"/>
      </w:divBdr>
    </w:div>
    <w:div w:id="1094671329">
      <w:bodyDiv w:val="1"/>
      <w:marLeft w:val="0"/>
      <w:marRight w:val="0"/>
      <w:marTop w:val="0"/>
      <w:marBottom w:val="0"/>
      <w:divBdr>
        <w:top w:val="none" w:sz="0" w:space="0" w:color="auto"/>
        <w:left w:val="none" w:sz="0" w:space="0" w:color="auto"/>
        <w:bottom w:val="none" w:sz="0" w:space="0" w:color="auto"/>
        <w:right w:val="none" w:sz="0" w:space="0" w:color="auto"/>
      </w:divBdr>
    </w:div>
    <w:div w:id="1163275521">
      <w:bodyDiv w:val="1"/>
      <w:marLeft w:val="0"/>
      <w:marRight w:val="0"/>
      <w:marTop w:val="0"/>
      <w:marBottom w:val="0"/>
      <w:divBdr>
        <w:top w:val="none" w:sz="0" w:space="0" w:color="auto"/>
        <w:left w:val="none" w:sz="0" w:space="0" w:color="auto"/>
        <w:bottom w:val="none" w:sz="0" w:space="0" w:color="auto"/>
        <w:right w:val="none" w:sz="0" w:space="0" w:color="auto"/>
      </w:divBdr>
    </w:div>
    <w:div w:id="1482966595">
      <w:bodyDiv w:val="1"/>
      <w:marLeft w:val="0"/>
      <w:marRight w:val="0"/>
      <w:marTop w:val="0"/>
      <w:marBottom w:val="0"/>
      <w:divBdr>
        <w:top w:val="none" w:sz="0" w:space="0" w:color="auto"/>
        <w:left w:val="none" w:sz="0" w:space="0" w:color="auto"/>
        <w:bottom w:val="none" w:sz="0" w:space="0" w:color="auto"/>
        <w:right w:val="none" w:sz="0" w:space="0" w:color="auto"/>
      </w:divBdr>
    </w:div>
    <w:div w:id="1513371562">
      <w:bodyDiv w:val="1"/>
      <w:marLeft w:val="0"/>
      <w:marRight w:val="0"/>
      <w:marTop w:val="0"/>
      <w:marBottom w:val="0"/>
      <w:divBdr>
        <w:top w:val="none" w:sz="0" w:space="0" w:color="auto"/>
        <w:left w:val="none" w:sz="0" w:space="0" w:color="auto"/>
        <w:bottom w:val="none" w:sz="0" w:space="0" w:color="auto"/>
        <w:right w:val="none" w:sz="0" w:space="0" w:color="auto"/>
      </w:divBdr>
    </w:div>
    <w:div w:id="1583098675">
      <w:bodyDiv w:val="1"/>
      <w:marLeft w:val="0"/>
      <w:marRight w:val="0"/>
      <w:marTop w:val="0"/>
      <w:marBottom w:val="0"/>
      <w:divBdr>
        <w:top w:val="none" w:sz="0" w:space="0" w:color="auto"/>
        <w:left w:val="none" w:sz="0" w:space="0" w:color="auto"/>
        <w:bottom w:val="none" w:sz="0" w:space="0" w:color="auto"/>
        <w:right w:val="none" w:sz="0" w:space="0" w:color="auto"/>
      </w:divBdr>
    </w:div>
    <w:div w:id="1769233579">
      <w:bodyDiv w:val="1"/>
      <w:marLeft w:val="0"/>
      <w:marRight w:val="0"/>
      <w:marTop w:val="0"/>
      <w:marBottom w:val="0"/>
      <w:divBdr>
        <w:top w:val="none" w:sz="0" w:space="0" w:color="auto"/>
        <w:left w:val="none" w:sz="0" w:space="0" w:color="auto"/>
        <w:bottom w:val="none" w:sz="0" w:space="0" w:color="auto"/>
        <w:right w:val="none" w:sz="0" w:space="0" w:color="auto"/>
      </w:divBdr>
    </w:div>
    <w:div w:id="1792043492">
      <w:bodyDiv w:val="1"/>
      <w:marLeft w:val="0"/>
      <w:marRight w:val="0"/>
      <w:marTop w:val="0"/>
      <w:marBottom w:val="0"/>
      <w:divBdr>
        <w:top w:val="none" w:sz="0" w:space="0" w:color="auto"/>
        <w:left w:val="none" w:sz="0" w:space="0" w:color="auto"/>
        <w:bottom w:val="none" w:sz="0" w:space="0" w:color="auto"/>
        <w:right w:val="none" w:sz="0" w:space="0" w:color="auto"/>
      </w:divBdr>
    </w:div>
    <w:div w:id="1805347342">
      <w:bodyDiv w:val="1"/>
      <w:marLeft w:val="0"/>
      <w:marRight w:val="0"/>
      <w:marTop w:val="0"/>
      <w:marBottom w:val="0"/>
      <w:divBdr>
        <w:top w:val="none" w:sz="0" w:space="0" w:color="auto"/>
        <w:left w:val="none" w:sz="0" w:space="0" w:color="auto"/>
        <w:bottom w:val="none" w:sz="0" w:space="0" w:color="auto"/>
        <w:right w:val="none" w:sz="0" w:space="0" w:color="auto"/>
      </w:divBdr>
    </w:div>
    <w:div w:id="18488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2618-D4A5-4789-9FD3-F2B56AF1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2023-10-04T12:29:00Z</dcterms:created>
  <dcterms:modified xsi:type="dcterms:W3CDTF">2023-10-05T07:57:00Z</dcterms:modified>
</cp:coreProperties>
</file>