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C491" w14:textId="3DACCB80" w:rsidR="008120B2" w:rsidRPr="00ED6A6B" w:rsidRDefault="00310A08" w:rsidP="00310A08">
      <w:pPr>
        <w:jc w:val="center"/>
        <w:rPr>
          <w:lang w:val="en-US"/>
        </w:rPr>
      </w:pPr>
      <w:r w:rsidRPr="00310A08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METODOLOGIJA ZA IZRAČUN EFEKTIVNIH </w:t>
      </w:r>
      <w:r w:rsidR="00C60836">
        <w:rPr>
          <w:rFonts w:ascii="Times New Roman" w:eastAsia="Calibri" w:hAnsi="Times New Roman" w:cs="Times New Roman"/>
          <w:sz w:val="32"/>
          <w:szCs w:val="32"/>
          <w:lang w:val="en-US"/>
        </w:rPr>
        <w:t>TEČAJ</w:t>
      </w:r>
    </w:p>
    <w:p w14:paraId="06DB40C5" w14:textId="77777777" w:rsidR="008120B2" w:rsidRPr="00ED6A6B" w:rsidRDefault="008120B2" w:rsidP="008120B2">
      <w:pPr>
        <w:rPr>
          <w:lang w:val="en-US"/>
        </w:rPr>
      </w:pPr>
    </w:p>
    <w:p w14:paraId="211F941E" w14:textId="3247833A" w:rsidR="00310A08" w:rsidRPr="00310A08" w:rsidRDefault="00310A08" w:rsidP="00310A0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Nominalni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efektivni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>tečaj</w:t>
      </w:r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(u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dalj</w:t>
      </w:r>
      <w:proofErr w:type="spellEnd"/>
      <w:r w:rsidR="00DD3D0B">
        <w:rPr>
          <w:rFonts w:ascii="Times New Roman" w:hAnsi="Times New Roman" w:cs="Times New Roman"/>
          <w:sz w:val="24"/>
          <w:szCs w:val="24"/>
          <w:lang w:val="hr-BA"/>
        </w:rPr>
        <w:t>nj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em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tekstu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NEER)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je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ponderi</w:t>
      </w:r>
      <w:proofErr w:type="spellEnd"/>
      <w:r w:rsidR="00DD3D0B">
        <w:rPr>
          <w:rFonts w:ascii="Times New Roman" w:hAnsi="Times New Roman" w:cs="Times New Roman"/>
          <w:sz w:val="24"/>
          <w:szCs w:val="24"/>
          <w:lang w:val="hr-BA"/>
        </w:rPr>
        <w:t>r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ani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prosjek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bilateralnih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>tečajeva</w:t>
      </w:r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konvertibilne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marke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Bosne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Hercegovine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(u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dalj</w:t>
      </w:r>
      <w:proofErr w:type="spellEnd"/>
      <w:r w:rsidR="00DD3D0B">
        <w:rPr>
          <w:rFonts w:ascii="Times New Roman" w:hAnsi="Times New Roman" w:cs="Times New Roman"/>
          <w:sz w:val="24"/>
          <w:szCs w:val="24"/>
          <w:lang w:val="hr-BA"/>
        </w:rPr>
        <w:t>nj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em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tekstu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KM) u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odnosu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na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valute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najznačajnijih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D3D0B">
        <w:rPr>
          <w:rFonts w:ascii="Times New Roman" w:hAnsi="Times New Roman" w:cs="Times New Roman"/>
          <w:sz w:val="24"/>
          <w:szCs w:val="24"/>
          <w:lang w:val="hr-BA"/>
        </w:rPr>
        <w:t>vanjsk</w:t>
      </w:r>
      <w:r w:rsidRPr="00310A08">
        <w:rPr>
          <w:rFonts w:ascii="Times New Roman" w:hAnsi="Times New Roman" w:cs="Times New Roman"/>
          <w:sz w:val="24"/>
          <w:szCs w:val="24"/>
          <w:lang w:val="sr-Cyrl-BA"/>
        </w:rPr>
        <w:t>otrgovinskih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partnera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090085C3" w14:textId="2F45D533" w:rsidR="00310A08" w:rsidRDefault="00310A08" w:rsidP="00310A0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Realni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efektivni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>tečaj</w:t>
      </w:r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(u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dalj</w:t>
      </w:r>
      <w:proofErr w:type="spellEnd"/>
      <w:r w:rsidR="00DD3D0B">
        <w:rPr>
          <w:rFonts w:ascii="Times New Roman" w:hAnsi="Times New Roman" w:cs="Times New Roman"/>
          <w:sz w:val="24"/>
          <w:szCs w:val="24"/>
          <w:lang w:val="hr-BA"/>
        </w:rPr>
        <w:t>nj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em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tekstu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REER)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defini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>ra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2149EE" w:rsidRPr="00310A08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="002149EE"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kao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nominalni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efektivni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>tečaj</w:t>
      </w:r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koji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je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deflacioni</w:t>
      </w:r>
      <w:proofErr w:type="spellEnd"/>
      <w:r w:rsidR="00DD3D0B">
        <w:rPr>
          <w:rFonts w:ascii="Times New Roman" w:hAnsi="Times New Roman" w:cs="Times New Roman"/>
          <w:sz w:val="24"/>
          <w:szCs w:val="24"/>
          <w:lang w:val="hr-BA"/>
        </w:rPr>
        <w:t>r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an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 xml:space="preserve">uz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pomoć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relativnih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cijena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indeks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potrošačkih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cijena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engl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Consumer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Price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Index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– CPI), i/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ili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indeks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proizvođačkih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cijena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industrije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engl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Producer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Price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Index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– PPI)), u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domać</w:t>
      </w:r>
      <w:proofErr w:type="spellEnd"/>
      <w:r w:rsidR="00DD3D0B">
        <w:rPr>
          <w:rFonts w:ascii="Times New Roman" w:hAnsi="Times New Roman" w:cs="Times New Roman"/>
          <w:sz w:val="24"/>
          <w:szCs w:val="24"/>
          <w:lang w:val="hr-BA"/>
        </w:rPr>
        <w:t>em</w:t>
      </w:r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>gospodarstvu</w:t>
      </w:r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>gospodarstvima</w:t>
      </w:r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trgovinskih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partnera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denomin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>ir</w:t>
      </w:r>
      <w:r w:rsidRPr="00310A08">
        <w:rPr>
          <w:rFonts w:ascii="Times New Roman" w:hAnsi="Times New Roman" w:cs="Times New Roman"/>
          <w:sz w:val="24"/>
          <w:szCs w:val="24"/>
          <w:lang w:val="sr-Cyrl-BA"/>
        </w:rPr>
        <w:t>anih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jedinstvenoj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310A08">
        <w:rPr>
          <w:rFonts w:ascii="Times New Roman" w:hAnsi="Times New Roman" w:cs="Times New Roman"/>
          <w:sz w:val="24"/>
          <w:szCs w:val="24"/>
          <w:lang w:val="sr-Cyrl-BA"/>
        </w:rPr>
        <w:t>valuti</w:t>
      </w:r>
      <w:proofErr w:type="spellEnd"/>
      <w:r w:rsidRPr="00310A0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A972208" w14:textId="2450700E" w:rsidR="008120B2" w:rsidRPr="00ED6A6B" w:rsidRDefault="008120B2" w:rsidP="00985D2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E77C30" w14:textId="77777777" w:rsidR="008120B2" w:rsidRPr="00ED6A6B" w:rsidRDefault="008120B2" w:rsidP="00985D2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36AC10A" w14:textId="7219B0B5" w:rsidR="009326A0" w:rsidRPr="00A93E78" w:rsidRDefault="00FD4AF0" w:rsidP="00F50602">
      <w:pPr>
        <w:pStyle w:val="Heading2"/>
        <w:rPr>
          <w:lang w:val="sr-Cyrl-BA"/>
        </w:rPr>
      </w:pPr>
      <w:proofErr w:type="spellStart"/>
      <w:r w:rsidRPr="00FD4AF0">
        <w:rPr>
          <w:lang w:val="sr-Cyrl-BA"/>
        </w:rPr>
        <w:t>Nominalni</w:t>
      </w:r>
      <w:proofErr w:type="spellEnd"/>
      <w:r w:rsidRPr="00FD4AF0">
        <w:rPr>
          <w:lang w:val="sr-Cyrl-BA"/>
        </w:rPr>
        <w:t xml:space="preserve"> </w:t>
      </w:r>
      <w:proofErr w:type="spellStart"/>
      <w:r w:rsidRPr="00FD4AF0">
        <w:rPr>
          <w:lang w:val="sr-Cyrl-BA"/>
        </w:rPr>
        <w:t>efektivni</w:t>
      </w:r>
      <w:proofErr w:type="spellEnd"/>
      <w:r w:rsidRPr="00FD4AF0">
        <w:rPr>
          <w:lang w:val="sr-Cyrl-BA"/>
        </w:rPr>
        <w:t xml:space="preserve"> </w:t>
      </w:r>
      <w:r w:rsidR="00DD3D0B">
        <w:rPr>
          <w:lang w:val="hr-BA"/>
        </w:rPr>
        <w:t>tečaj</w:t>
      </w:r>
      <w:r w:rsidR="00985D22" w:rsidRPr="00A93E78">
        <w:rPr>
          <w:lang w:val="sr-Cyrl-BA"/>
        </w:rPr>
        <w:t xml:space="preserve"> </w:t>
      </w:r>
      <w:r w:rsidR="009326A0" w:rsidRPr="00A93E78">
        <w:rPr>
          <w:lang w:val="sr-Cyrl-BA"/>
        </w:rPr>
        <w:t>(</w:t>
      </w:r>
      <w:r w:rsidR="009326A0" w:rsidRPr="00ED6A6B">
        <w:t>NEER</w:t>
      </w:r>
      <w:r w:rsidR="009326A0" w:rsidRPr="00A93E78">
        <w:rPr>
          <w:lang w:val="sr-Cyrl-BA"/>
        </w:rPr>
        <w:t>)</w:t>
      </w:r>
    </w:p>
    <w:p w14:paraId="781FFB6F" w14:textId="179412A2" w:rsidR="008120B2" w:rsidRPr="00A93E78" w:rsidRDefault="008120B2" w:rsidP="008120B2">
      <w:pPr>
        <w:rPr>
          <w:lang w:val="sr-Cyrl-BA"/>
        </w:rPr>
      </w:pPr>
    </w:p>
    <w:p w14:paraId="269B987C" w14:textId="77777777" w:rsidR="008120B2" w:rsidRPr="00A93E78" w:rsidRDefault="008120B2" w:rsidP="008120B2">
      <w:pPr>
        <w:rPr>
          <w:lang w:val="sr-Cyrl-BA"/>
        </w:rPr>
      </w:pPr>
    </w:p>
    <w:p w14:paraId="517C55BA" w14:textId="24D3C0BA" w:rsidR="009326A0" w:rsidRPr="00A93E78" w:rsidRDefault="00FD4AF0" w:rsidP="00F50602">
      <w:pPr>
        <w:pStyle w:val="Heading3"/>
        <w:rPr>
          <w:lang w:val="sr-Cyrl-BA"/>
        </w:rPr>
      </w:pPr>
      <w:proofErr w:type="spellStart"/>
      <w:r w:rsidRPr="00FD4AF0">
        <w:rPr>
          <w:lang w:val="sr-Cyrl-BA"/>
        </w:rPr>
        <w:t>Metod</w:t>
      </w:r>
      <w:proofErr w:type="spellEnd"/>
      <w:r w:rsidR="002149EE">
        <w:rPr>
          <w:lang w:val="hr-BA"/>
        </w:rPr>
        <w:t>a</w:t>
      </w:r>
      <w:r w:rsidRPr="00FD4AF0">
        <w:rPr>
          <w:lang w:val="sr-Cyrl-BA"/>
        </w:rPr>
        <w:t xml:space="preserve"> </w:t>
      </w:r>
      <w:proofErr w:type="spellStart"/>
      <w:r w:rsidRPr="00FD4AF0">
        <w:rPr>
          <w:lang w:val="sr-Cyrl-BA"/>
        </w:rPr>
        <w:t>izračuna</w:t>
      </w:r>
      <w:proofErr w:type="spellEnd"/>
    </w:p>
    <w:p w14:paraId="027545D8" w14:textId="77777777" w:rsidR="008120B2" w:rsidRPr="00A93E78" w:rsidRDefault="008120B2" w:rsidP="008120B2">
      <w:pPr>
        <w:rPr>
          <w:lang w:val="sr-Cyrl-BA"/>
        </w:rPr>
      </w:pPr>
    </w:p>
    <w:p w14:paraId="29F1AA25" w14:textId="77777777" w:rsidR="009326A0" w:rsidRPr="00ED6A6B" w:rsidRDefault="007E584F" w:rsidP="009326A0">
      <w:pPr>
        <w:rPr>
          <w:lang w:val="sr-Cyrl-B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sr-Cyrl-BA"/>
                </w:rPr>
              </m:ctrlPr>
            </m:sSupPr>
            <m:e>
              <m:r>
                <w:rPr>
                  <w:rFonts w:ascii="Cambria Math" w:hAnsi="Cambria Math"/>
                  <w:lang w:val="sr-Cyrl-BA"/>
                </w:rPr>
                <m:t>NEER</m:t>
              </m:r>
            </m:e>
            <m:sup>
              <m:r>
                <w:rPr>
                  <w:rFonts w:ascii="Cambria Math" w:hAnsi="Cambria Math"/>
                  <w:lang w:val="sr-Cyrl-BA"/>
                </w:rPr>
                <m:t>t</m:t>
              </m:r>
            </m:sup>
          </m:sSup>
          <m:r>
            <w:rPr>
              <w:rFonts w:ascii="Cambria Math" w:hAnsi="Cambria Math"/>
              <w:lang w:val="sr-Cyrl-BA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lang w:val="sr-Cyrl-BA"/>
                </w:rPr>
              </m:ctrlPr>
            </m:naryPr>
            <m:sub>
              <m:r>
                <w:rPr>
                  <w:rFonts w:ascii="Cambria Math" w:hAnsi="Cambria Math"/>
                  <w:lang w:val="sr-Cyrl-BA"/>
                </w:rPr>
                <m:t>i=1</m:t>
              </m:r>
            </m:sub>
            <m:sup>
              <m:r>
                <w:rPr>
                  <w:rFonts w:ascii="Cambria Math" w:hAnsi="Cambria Math"/>
                  <w:lang w:val="sr-Cyrl-BA"/>
                </w:rPr>
                <m:t>N</m:t>
              </m:r>
            </m:sup>
            <m:e>
              <m:r>
                <w:rPr>
                  <w:rFonts w:ascii="Cambria Math" w:hAnsi="Cambria Math"/>
                  <w:lang w:val="sr-Cyrl-BA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sr-Cyrl-BA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sr-Cyrl-BA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sr-Cyrl-BA"/>
                    </w:rPr>
                    <m:t>KM,i</m:t>
                  </m:r>
                </m:sub>
                <m:sup>
                  <m:r>
                    <w:rPr>
                      <w:rFonts w:ascii="Cambria Math" w:hAnsi="Cambria Math"/>
                      <w:lang w:val="sr-Cyrl-BA"/>
                    </w:rPr>
                    <m:t>t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  <w:lang w:val="sr-Cyrl-B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sr-Cyrl-BA"/>
                    </w:rPr>
                    <m:t>)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sr-Cyrl-B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sr-Cyrl-BA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val="sr-Cyrl-BA"/>
                        </w:rPr>
                        <m:t>i</m:t>
                      </m:r>
                    </m:sub>
                  </m:sSub>
                </m:sup>
              </m:sSup>
            </m:e>
          </m:nary>
        </m:oMath>
      </m:oMathPara>
    </w:p>
    <w:p w14:paraId="4805FA1E" w14:textId="74AB3532" w:rsidR="00FD4AF0" w:rsidRPr="00FD4AF0" w:rsidRDefault="00FD4AF0" w:rsidP="00FD4AF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gdje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N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predstavlja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broj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zemalja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referentnoj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skupini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trgovinskih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partnera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KM, 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t</m:t>
            </m:r>
          </m:sup>
        </m:sSubSup>
      </m:oMath>
      <w:r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indeks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prosječnog</w:t>
      </w:r>
      <w:proofErr w:type="spellEnd"/>
      <w:r w:rsidR="00DD3D0B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>tečaja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valute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KM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vis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>–à–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vis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zemlje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partnera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>i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u </w:t>
      </w:r>
      <w:r w:rsidR="00DD3D0B">
        <w:rPr>
          <w:rFonts w:ascii="Times New Roman" w:hAnsi="Times New Roman" w:cs="Times New Roman"/>
          <w:sz w:val="24"/>
          <w:szCs w:val="24"/>
          <w:lang w:val="hr-BA"/>
        </w:rPr>
        <w:t>razdoblju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>t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izraženo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broju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jedinica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domaće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valute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odnosu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na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stranu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valutu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)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B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i</m:t>
            </m:r>
          </m:sub>
        </m:sSub>
      </m:oMath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predstavlja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ponder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dodijeljen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valuti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trgovinskog</w:t>
      </w:r>
      <w:proofErr w:type="spellEnd"/>
      <w:r w:rsidR="00DD3D0B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partnera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>i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2859226C" w14:textId="4451F0C0" w:rsidR="00FD4AF0" w:rsidRPr="00FD4AF0" w:rsidRDefault="00DD3D0B" w:rsidP="00FD4AF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>pravilno</w:t>
      </w:r>
      <w:proofErr w:type="spellEnd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>izračunavanje</w:t>
      </w:r>
      <w:proofErr w:type="spellEnd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>tumačenje</w:t>
      </w:r>
      <w:proofErr w:type="spellEnd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>nominalnog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>efektivnog</w:t>
      </w:r>
      <w:proofErr w:type="spellEnd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tečaja</w:t>
      </w:r>
      <w:r w:rsidRPr="00DD3D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neophodna</w:t>
      </w:r>
      <w:proofErr w:type="spellEnd"/>
      <w:r w:rsidRPr="00DD3D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su</w:t>
      </w:r>
      <w:proofErr w:type="spellEnd"/>
      <w:r w:rsidRPr="00DD3D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va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elementa</w:t>
      </w:r>
      <w:proofErr w:type="spellEnd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a </w:t>
      </w:r>
      <w:proofErr w:type="spellStart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>to</w:t>
      </w:r>
      <w:proofErr w:type="spellEnd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>su</w:t>
      </w:r>
      <w:proofErr w:type="spellEnd"/>
      <w:r w:rsidR="00FD4AF0" w:rsidRPr="00FD4AF0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1F0D4F0F" w14:textId="7D4BA822" w:rsidR="002149EE" w:rsidRPr="00ED6A6B" w:rsidRDefault="00543697" w:rsidP="002149EE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izračunavanje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pondera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neophodno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napraviti</w:t>
      </w:r>
      <w:proofErr w:type="spellEnd"/>
      <w:r w:rsidR="002149E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:</w:t>
      </w:r>
    </w:p>
    <w:p w14:paraId="5C9EC000" w14:textId="660EA5A7" w:rsidR="002149EE" w:rsidRPr="00ED6A6B" w:rsidRDefault="00543697" w:rsidP="002149EE">
      <w:pPr>
        <w:pStyle w:val="ListParagraph"/>
        <w:numPr>
          <w:ilvl w:val="1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odabir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trgovinskih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partnera</w:t>
      </w:r>
      <w:proofErr w:type="spellEnd"/>
    </w:p>
    <w:p w14:paraId="513899C3" w14:textId="1F7727D7" w:rsidR="002149EE" w:rsidRPr="00ED6A6B" w:rsidRDefault="00543697" w:rsidP="002149EE">
      <w:pPr>
        <w:pStyle w:val="ListParagraph"/>
        <w:numPr>
          <w:ilvl w:val="1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ažuriranje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pondera</w:t>
      </w:r>
      <w:proofErr w:type="spellEnd"/>
    </w:p>
    <w:p w14:paraId="036FBEE9" w14:textId="168DDC2E" w:rsidR="002149EE" w:rsidRPr="00ED6A6B" w:rsidRDefault="00543697" w:rsidP="002149EE">
      <w:pPr>
        <w:pStyle w:val="ListParagraph"/>
        <w:numPr>
          <w:ilvl w:val="1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metod</w:t>
      </w:r>
      <w:proofErr w:type="spellEnd"/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u</w:t>
      </w:r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r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anja</w:t>
      </w:r>
      <w:proofErr w:type="spellEnd"/>
    </w:p>
    <w:p w14:paraId="70FBA7CA" w14:textId="7E8EB3A2" w:rsidR="002149EE" w:rsidRPr="00ED6A6B" w:rsidRDefault="00543697" w:rsidP="002149EE">
      <w:pPr>
        <w:pStyle w:val="ListParagraph"/>
        <w:numPr>
          <w:ilvl w:val="1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dvostruko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r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ani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izvozni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praksi</w:t>
      </w:r>
      <w:proofErr w:type="spellEnd"/>
    </w:p>
    <w:p w14:paraId="4B3D7384" w14:textId="336B48E0" w:rsidR="002149EE" w:rsidRPr="00ED6A6B" w:rsidRDefault="00543697" w:rsidP="002149EE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odabir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koriš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t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enje</w:t>
      </w:r>
      <w:proofErr w:type="spellEnd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tečaja</w:t>
      </w:r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43697">
        <w:rPr>
          <w:rFonts w:ascii="Times New Roman" w:eastAsiaTheme="minorEastAsia" w:hAnsi="Times New Roman" w:cs="Times New Roman"/>
          <w:sz w:val="24"/>
          <w:szCs w:val="24"/>
          <w:lang w:val="sr-Cyrl-BA"/>
        </w:rPr>
        <w:t>valuta</w:t>
      </w:r>
      <w:proofErr w:type="spellEnd"/>
    </w:p>
    <w:p w14:paraId="134CA9E4" w14:textId="15596B14" w:rsidR="008120B2" w:rsidRDefault="008120B2" w:rsidP="008120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226DA932" w14:textId="6400AF37" w:rsidR="00543697" w:rsidRDefault="00543697" w:rsidP="008120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094EB8D6" w14:textId="2C1593C7" w:rsidR="00543697" w:rsidRDefault="00543697" w:rsidP="008120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52D30F4F" w14:textId="77777777" w:rsidR="00543697" w:rsidRPr="00ED6A6B" w:rsidRDefault="00543697" w:rsidP="008120B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26BE9F3D" w14:textId="75851F01" w:rsidR="008120B2" w:rsidRPr="00A93E78" w:rsidRDefault="00FD4AF0" w:rsidP="008120B2">
      <w:pPr>
        <w:rPr>
          <w:lang w:val="sr-Cyrl-BA"/>
        </w:rPr>
      </w:pPr>
      <w:proofErr w:type="spellStart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lastRenderedPageBreak/>
        <w:t>Izračun</w:t>
      </w:r>
      <w:proofErr w:type="spellEnd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 xml:space="preserve"> </w:t>
      </w:r>
      <w:proofErr w:type="spellStart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>pondera</w:t>
      </w:r>
      <w:proofErr w:type="spellEnd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 xml:space="preserve"> – </w:t>
      </w:r>
      <w:proofErr w:type="spellStart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>dvostruko</w:t>
      </w:r>
      <w:proofErr w:type="spellEnd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 xml:space="preserve"> </w:t>
      </w:r>
      <w:proofErr w:type="spellStart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>ponderi</w:t>
      </w:r>
      <w:proofErr w:type="spellEnd"/>
      <w:r w:rsidR="00543697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hr-BA"/>
        </w:rPr>
        <w:t>r</w:t>
      </w:r>
      <w:proofErr w:type="spellStart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>ani</w:t>
      </w:r>
      <w:proofErr w:type="spellEnd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 xml:space="preserve"> </w:t>
      </w:r>
      <w:proofErr w:type="spellStart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>izvozni</w:t>
      </w:r>
      <w:proofErr w:type="spellEnd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 xml:space="preserve"> </w:t>
      </w:r>
      <w:proofErr w:type="spellStart"/>
      <w:r w:rsidRPr="00FD4AF0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lang w:val="sr-Cyrl-BA"/>
        </w:rPr>
        <w:t>ponder</w:t>
      </w:r>
      <w:proofErr w:type="spellEnd"/>
    </w:p>
    <w:p w14:paraId="2464A13A" w14:textId="77777777" w:rsidR="00FD4AF0" w:rsidRDefault="00FD4AF0" w:rsidP="004A310C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21ED0627" w14:textId="47C3DA26" w:rsidR="00FD4AF0" w:rsidRDefault="00FD4AF0" w:rsidP="004A310C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Pristup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izračunavanje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efektivnog</w:t>
      </w:r>
      <w:proofErr w:type="spellEnd"/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tečaja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KM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slijedi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metodologiju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Banke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međunarodna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poravnanja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(u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dalj</w:t>
      </w:r>
      <w:proofErr w:type="spellEnd"/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nj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em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tekstu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BIS)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predstavljenu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ekonomskim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novinama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BIS-a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br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39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Turner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P. i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Van’t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Dack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, J. (1993.): „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Measuring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international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price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and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cost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competitiveness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".</w:t>
      </w:r>
    </w:p>
    <w:p w14:paraId="52054742" w14:textId="43FA224C" w:rsidR="00FD4AF0" w:rsidRDefault="00FD4AF0" w:rsidP="00EE67EC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da</w:t>
      </w:r>
      <w:proofErr w:type="spellEnd"/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n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oj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metodologiji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efektivnih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tečajeva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KM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zasnivaju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strukturi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robe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prerađivačke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industrije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</w:t>
      </w:r>
      <w:proofErr w:type="spellEnd"/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tom</w:t>
      </w:r>
      <w:proofErr w:type="spellEnd"/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odražavaju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izravnu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uvoznu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konkurenciju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izravnu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konkurenciju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konkurenciju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trećim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tržištima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ukupnih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zasniva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stoga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matrici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vrlo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detaljnih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uvoznih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izvoznih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podataka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39D79E73" w14:textId="6D1A2F35" w:rsidR="00EE67EC" w:rsidRPr="00ED6A6B" w:rsidRDefault="00FD4AF0" w:rsidP="00EE67EC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Uvozni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jednostavn</w:t>
      </w:r>
      <w:proofErr w:type="spellEnd"/>
      <w:r w:rsidR="004532A1">
        <w:rPr>
          <w:rFonts w:ascii="Times New Roman" w:eastAsiaTheme="minorEastAsia" w:hAnsi="Times New Roman" w:cs="Times New Roman"/>
          <w:sz w:val="24"/>
          <w:szCs w:val="24"/>
          <w:lang w:val="hr-BA"/>
        </w:rPr>
        <w:t>i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eastAsiaTheme="minorEastAsia" w:hAnsi="Times New Roman" w:cs="Times New Roman"/>
          <w:sz w:val="24"/>
          <w:szCs w:val="24"/>
          <w:lang w:val="hr-BA"/>
        </w:rPr>
        <w:t>udjel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ukupnom</w:t>
      </w:r>
      <w:proofErr w:type="spellEnd"/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BiH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svakog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trgovinskog</w:t>
      </w:r>
      <w:proofErr w:type="spellEnd"/>
      <w:r w:rsidR="004532A1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partnera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dok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kombinacija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jednostavnog</w:t>
      </w:r>
      <w:proofErr w:type="spellEnd"/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eastAsiaTheme="minorEastAsia" w:hAnsi="Times New Roman" w:cs="Times New Roman"/>
          <w:sz w:val="24"/>
          <w:szCs w:val="24"/>
          <w:lang w:val="hr-BA"/>
        </w:rPr>
        <w:t>udjela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dvostruko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="00543697">
        <w:rPr>
          <w:rFonts w:ascii="Times New Roman" w:eastAsiaTheme="minorEastAsia" w:hAnsi="Times New Roman" w:cs="Times New Roman"/>
          <w:sz w:val="24"/>
          <w:szCs w:val="24"/>
          <w:lang w:val="hr-BA"/>
        </w:rPr>
        <w:t>r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anog</w:t>
      </w:r>
      <w:proofErr w:type="spellEnd"/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izvoznog</w:t>
      </w:r>
      <w:proofErr w:type="spellEnd"/>
      <w:r w:rsidR="004532A1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uzima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obzir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konkurenciju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trećim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tržištima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Vidljiv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učinak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konkurencije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s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kojom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suočavaju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izvoznici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BiH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domaćim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proizvođačima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domaćim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tržištima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izvoznicima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trećim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tržištima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1D61BF82" w14:textId="67D97D3B" w:rsidR="00FD4AF0" w:rsidRDefault="00FD4AF0" w:rsidP="00FD4AF0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efektivnih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tečajeva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zasnivaju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strukturi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robe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prerađivačke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industrije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–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proizvodima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Standardnoj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međunarodnoj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trgovinskoj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klasifikaciji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(SMTK)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nalaze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sljedećim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sektorima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: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k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emijski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grupa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5),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klasificirani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prema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materijalu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grupa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6),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strojevi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transportni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uređaji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grupa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7) i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razni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gotovi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grupa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8).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Izvorni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preuzimaju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543697"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="00543697"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s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internet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stranice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UNCTAD-a (UN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Commodity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Trade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Statistics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Database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). (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dostupni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>sljedeć</w:t>
      </w:r>
      <w:proofErr w:type="spellEnd"/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oj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DD3D0B">
        <w:rPr>
          <w:rFonts w:ascii="Times New Roman" w:eastAsiaTheme="minorEastAsia" w:hAnsi="Times New Roman" w:cs="Times New Roman"/>
          <w:sz w:val="24"/>
          <w:szCs w:val="24"/>
          <w:lang w:val="hr-BA"/>
        </w:rPr>
        <w:t>poveznici</w:t>
      </w:r>
      <w:r w:rsidRPr="00FD4AF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: </w:t>
      </w:r>
    </w:p>
    <w:p w14:paraId="542483F8" w14:textId="10534370" w:rsidR="008120B2" w:rsidRPr="00ED6A6B" w:rsidRDefault="008120B2" w:rsidP="008120B2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ED6A6B">
        <w:rPr>
          <w:rFonts w:ascii="Times New Roman" w:hAnsi="Times New Roman" w:cs="Times New Roman"/>
          <w:noProof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57FCE" wp14:editId="7FF67DAF">
                <wp:simplePos x="0" y="0"/>
                <wp:positionH relativeFrom="margin">
                  <wp:align>left</wp:align>
                </wp:positionH>
                <wp:positionV relativeFrom="paragraph">
                  <wp:posOffset>1624330</wp:posOffset>
                </wp:positionV>
                <wp:extent cx="5800725" cy="3590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590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A664" w14:textId="214BCF21" w:rsidR="00DD3D0B" w:rsidRDefault="00DD3D0B" w:rsidP="00E931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D4AF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Kako bi se pobliže i na jednostavan način objasnila metoda za izračun dvostruko ponderi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r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anih izvoznih </w:t>
                            </w:r>
                            <w:proofErr w:type="spellStart"/>
                            <w:r w:rsidRPr="00FD4AF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pondera</w:t>
                            </w:r>
                            <w:proofErr w:type="spellEnd"/>
                            <w:r w:rsidRPr="00FD4AF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, odnosno na koji način se jednostavni izvozni </w:t>
                            </w:r>
                            <w:proofErr w:type="spellStart"/>
                            <w:r w:rsidRPr="00FD4AF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ponderi</w:t>
                            </w:r>
                            <w:proofErr w:type="spellEnd"/>
                            <w:r w:rsidRPr="00FD4AF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prilagođavaju za konkurenciju na trećim tržištima, prikazan je pojednostavljeni primjer na slici 1</w:t>
                            </w:r>
                          </w:p>
                          <w:p w14:paraId="4807F4AA" w14:textId="3507C490" w:rsidR="00DD3D0B" w:rsidRDefault="00DD3D0B" w:rsidP="00E9313A">
                            <w:pPr>
                              <w:pStyle w:val="Caption"/>
                            </w:pPr>
                            <w:r w:rsidRPr="00FD4AF0">
                              <w:t xml:space="preserve">Slika 1 Ilustracija </w:t>
                            </w:r>
                            <w:r>
                              <w:t>izravne</w:t>
                            </w:r>
                            <w:r w:rsidRPr="00FD4AF0">
                              <w:t xml:space="preserve"> konkurencije i konkurencije na trećim tržištima</w:t>
                            </w:r>
                            <w:r w:rsidRPr="00734206">
                              <w:t xml:space="preserve"> </w:t>
                            </w:r>
                          </w:p>
                          <w:p w14:paraId="7441F4C9" w14:textId="2940F3B1" w:rsidR="00DD3D0B" w:rsidRDefault="00451416" w:rsidP="008120B2">
                            <w:pPr>
                              <w:ind w:left="708"/>
                              <w:jc w:val="center"/>
                            </w:pPr>
                            <w:r w:rsidRPr="0008435A">
                              <w:rPr>
                                <w:noProof/>
                                <w:lang w:eastAsia="bs-Latn-BA"/>
                              </w:rPr>
                              <w:drawing>
                                <wp:inline distT="0" distB="0" distL="0" distR="0" wp14:anchorId="3BD1A93D" wp14:editId="75565E20">
                                  <wp:extent cx="5133600" cy="22356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600" cy="223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8AF11" w14:textId="075A9359" w:rsidR="00DD3D0B" w:rsidRPr="00E624E1" w:rsidRDefault="00DD3D0B" w:rsidP="00E9313A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FD4A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Napomena: Ilustracija pokazuje stvarne vrijednosti trgovine proizvodima prerađivačke industrije dobi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ene kao prosjek vrijednosti 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razdoblju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2002.-2004. godine; vrijednosti su izražene u mili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ju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nima dolara. Ova ilustracija motivi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ana je sličnom prikazanom u Turner and </w:t>
                            </w:r>
                            <w:proofErr w:type="spellStart"/>
                            <w:r w:rsidRPr="00FD4A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Van't</w:t>
                            </w:r>
                            <w:proofErr w:type="spellEnd"/>
                            <w:r w:rsidRPr="00FD4A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4A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Dack</w:t>
                            </w:r>
                            <w:proofErr w:type="spellEnd"/>
                            <w:r w:rsidRPr="00FD4A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1993, str. 18-19.</w:t>
                            </w:r>
                          </w:p>
                          <w:p w14:paraId="4EC520F3" w14:textId="77777777" w:rsidR="00DD3D0B" w:rsidRDefault="00DD3D0B" w:rsidP="00E9313A"/>
                          <w:p w14:paraId="7B8DF173" w14:textId="77777777" w:rsidR="00DD3D0B" w:rsidRPr="00E9313A" w:rsidRDefault="00DD3D0B" w:rsidP="00E9313A"/>
                          <w:p w14:paraId="0F74CD8E" w14:textId="77777777" w:rsidR="00DD3D0B" w:rsidRPr="007C0498" w:rsidRDefault="00DD3D0B" w:rsidP="00E931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14:paraId="0EFE6EF8" w14:textId="77777777" w:rsidR="00DD3D0B" w:rsidRDefault="00DD3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57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7.9pt;width:456.75pt;height:28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" fillcolor="#f2f2f2 [3052]">
                <v:textbox>
                  <w:txbxContent>
                    <w:p w14:paraId="0B7CA664" w14:textId="214BCF21" w:rsidR="00DD3D0B" w:rsidRDefault="00DD3D0B" w:rsidP="00E9313A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D4AF0">
                        <w:rPr>
                          <w:rFonts w:ascii="Times New Roman" w:hAnsi="Times New Roman" w:cs="Times New Roman"/>
                          <w:szCs w:val="20"/>
                        </w:rPr>
                        <w:t>Kako bi se pobliže i na jednostavan način objasnila metoda za izračun dvostruko ponderi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r</w:t>
                      </w:r>
                      <w:r w:rsidRPr="00FD4AF0">
                        <w:rPr>
                          <w:rFonts w:ascii="Times New Roman" w:hAnsi="Times New Roman" w:cs="Times New Roman"/>
                          <w:szCs w:val="20"/>
                        </w:rPr>
                        <w:t xml:space="preserve">anih izvoznih </w:t>
                      </w:r>
                      <w:proofErr w:type="spellStart"/>
                      <w:r w:rsidRPr="00FD4AF0">
                        <w:rPr>
                          <w:rFonts w:ascii="Times New Roman" w:hAnsi="Times New Roman" w:cs="Times New Roman"/>
                          <w:szCs w:val="20"/>
                        </w:rPr>
                        <w:t>pondera</w:t>
                      </w:r>
                      <w:proofErr w:type="spellEnd"/>
                      <w:r w:rsidRPr="00FD4AF0">
                        <w:rPr>
                          <w:rFonts w:ascii="Times New Roman" w:hAnsi="Times New Roman" w:cs="Times New Roman"/>
                          <w:szCs w:val="20"/>
                        </w:rPr>
                        <w:t xml:space="preserve">, odnosno na koji način se jednostavni izvozni </w:t>
                      </w:r>
                      <w:proofErr w:type="spellStart"/>
                      <w:r w:rsidRPr="00FD4AF0">
                        <w:rPr>
                          <w:rFonts w:ascii="Times New Roman" w:hAnsi="Times New Roman" w:cs="Times New Roman"/>
                          <w:szCs w:val="20"/>
                        </w:rPr>
                        <w:t>ponderi</w:t>
                      </w:r>
                      <w:proofErr w:type="spellEnd"/>
                      <w:r w:rsidRPr="00FD4AF0">
                        <w:rPr>
                          <w:rFonts w:ascii="Times New Roman" w:hAnsi="Times New Roman" w:cs="Times New Roman"/>
                          <w:szCs w:val="20"/>
                        </w:rPr>
                        <w:t xml:space="preserve"> prilagođavaju za konkurenciju na trećim tržištima, prikazan je pojednostavljeni primjer na slici 1</w:t>
                      </w:r>
                    </w:p>
                    <w:p w14:paraId="4807F4AA" w14:textId="3507C490" w:rsidR="00DD3D0B" w:rsidRDefault="00DD3D0B" w:rsidP="00E9313A">
                      <w:pPr>
                        <w:pStyle w:val="Caption"/>
                      </w:pPr>
                      <w:r w:rsidRPr="00FD4AF0">
                        <w:t xml:space="preserve">Slika 1 Ilustracija </w:t>
                      </w:r>
                      <w:r>
                        <w:t>izravne</w:t>
                      </w:r>
                      <w:r w:rsidRPr="00FD4AF0">
                        <w:t xml:space="preserve"> konkurencije i konkurencije na trećim tržištima</w:t>
                      </w:r>
                      <w:r w:rsidRPr="00734206">
                        <w:t xml:space="preserve"> </w:t>
                      </w:r>
                    </w:p>
                    <w:p w14:paraId="7441F4C9" w14:textId="2940F3B1" w:rsidR="00DD3D0B" w:rsidRDefault="00451416" w:rsidP="008120B2">
                      <w:pPr>
                        <w:ind w:left="708"/>
                        <w:jc w:val="center"/>
                      </w:pPr>
                      <w:r w:rsidRPr="0008435A">
                        <w:rPr>
                          <w:noProof/>
                          <w:lang w:eastAsia="bs-Latn-BA"/>
                        </w:rPr>
                        <w:drawing>
                          <wp:inline distT="0" distB="0" distL="0" distR="0" wp14:anchorId="3BD1A93D" wp14:editId="75565E20">
                            <wp:extent cx="5133600" cy="22356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600" cy="223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8AF11" w14:textId="075A9359" w:rsidR="00DD3D0B" w:rsidRPr="00E624E1" w:rsidRDefault="00DD3D0B" w:rsidP="00E9313A">
                      <w:pPr>
                        <w:spacing w:after="200"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BA"/>
                        </w:rPr>
                      </w:pPr>
                      <w:r w:rsidRPr="00FD4A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Napomena: Ilustracija pokazuje stvarne vrijednosti trgovine proizvodima prerađivačke industrije dobi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</w:t>
                      </w:r>
                      <w:r w:rsidRPr="00FD4A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ene kao prosjek vrijednosti u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razdoblju</w:t>
                      </w:r>
                      <w:r w:rsidRPr="00FD4A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2002.-2004. godine; vrijednosti su izražene u mili</w:t>
                      </w:r>
                      <w:r w:rsidR="000007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ju</w:t>
                      </w:r>
                      <w:r w:rsidRPr="00FD4A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nima dolara. Ova ilustracija motivi</w:t>
                      </w:r>
                      <w:r w:rsidR="000007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</w:t>
                      </w:r>
                      <w:r w:rsidRPr="00FD4A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ana je sličnom prikazanom u Turner and </w:t>
                      </w:r>
                      <w:proofErr w:type="spellStart"/>
                      <w:r w:rsidRPr="00FD4A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Van't</w:t>
                      </w:r>
                      <w:proofErr w:type="spellEnd"/>
                      <w:r w:rsidRPr="00FD4A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4A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Dack</w:t>
                      </w:r>
                      <w:proofErr w:type="spellEnd"/>
                      <w:r w:rsidRPr="00FD4A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1993, str. 18-19.</w:t>
                      </w:r>
                    </w:p>
                    <w:p w14:paraId="4EC520F3" w14:textId="77777777" w:rsidR="00DD3D0B" w:rsidRDefault="00DD3D0B" w:rsidP="00E9313A"/>
                    <w:p w14:paraId="7B8DF173" w14:textId="77777777" w:rsidR="00DD3D0B" w:rsidRPr="00E9313A" w:rsidRDefault="00DD3D0B" w:rsidP="00E9313A"/>
                    <w:p w14:paraId="0F74CD8E" w14:textId="77777777" w:rsidR="00DD3D0B" w:rsidRPr="007C0498" w:rsidRDefault="00DD3D0B" w:rsidP="00E9313A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14:paraId="0EFE6EF8" w14:textId="77777777" w:rsidR="00DD3D0B" w:rsidRDefault="00DD3D0B"/>
                  </w:txbxContent>
                </v:textbox>
                <w10:wrap type="square" anchorx="margin"/>
              </v:shape>
            </w:pict>
          </mc:Fallback>
        </mc:AlternateContent>
      </w:r>
      <w:hyperlink r:id="rId9" w:history="1">
        <w:r w:rsidRPr="00ED6A6B">
          <w:rPr>
            <w:rStyle w:val="Hyperlink"/>
            <w:rFonts w:ascii="Times New Roman" w:hAnsi="Times New Roman" w:cs="Times New Roman"/>
            <w:sz w:val="24"/>
            <w:szCs w:val="24"/>
            <w:lang w:val="sr-Cyrl-BA"/>
          </w:rPr>
          <w:t>http://unctadstat.unctad.org/wds/ReportFolders/reportFolders.aspx?sCS_ChosenLang=en</w:t>
        </w:r>
      </w:hyperlink>
      <w:r w:rsidRPr="00ED6A6B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14:paraId="6DA61A7F" w14:textId="2E409A3C" w:rsidR="00AC648C" w:rsidRPr="00ED6A6B" w:rsidRDefault="008120B2" w:rsidP="009178B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D6A6B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27612E" wp14:editId="67640BC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00725" cy="4739640"/>
                <wp:effectExtent l="0" t="0" r="2857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39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DA1D" w14:textId="40351688" w:rsidR="00DD3D0B" w:rsidRPr="00FD4AF0" w:rsidRDefault="00DD3D0B" w:rsidP="00FD4A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U prva dva koraka cilj nam je odrediti u kojoj mjeri postoji konkurencija između izvoznika iz BiH i proizvođača iz Njemačke na tržištu Njemačke (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izravna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konkurencija), te u kojoj  mjeri postoji konkurencija između izvoznika iz BiH i izvoznika iz Njemačke na trećim tržištima (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neizravna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konkurencija).</w:t>
                            </w:r>
                          </w:p>
                          <w:p w14:paraId="4B3B87F7" w14:textId="1633D8F8" w:rsidR="00DD3D0B" w:rsidRPr="00FD4AF0" w:rsidRDefault="00DD3D0B" w:rsidP="00FD4A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Prvi korak jeste određivanje važnosti koju proizvođači iz Njemačke imaju na svo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je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m domaćem tržištu (=283.165), kao i važnosti koju izvoznici iz Njemačke imaju na trećim tržištima (=695.920). Iz ovoga proiz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i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lazi da u ukupnoj ponudi proizvoda koja je prisutna na tržištu Njemačke (isključujući ponudu proizvođača iz BiH), njemački proizvođači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sudjeluju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sa 49% (=283.165/(283.165+293.995)), dok izvoznici s trećih tržišta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sudjeluju</w:t>
                            </w:r>
                            <w:r w:rsidR="000007E8"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sa 51% (=293.995/(283.165+293.995)). Isto tako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,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može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 xml:space="preserve">se 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primijetiti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kako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izvoznici iz Njemačke u ukupnoj ponudi koja je prisutna na trećim tržištima (opet isključujući ponudu proizvođača iz BiH)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sudjeluju</w:t>
                            </w:r>
                            <w:r w:rsidR="000007E8"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sa 16% (=695.920/(695.920+3.570.265)), dok ostatak dolazi od ostalih proizvođača/izvoznika na trećim tržištima 84% (=3.570.265/(695.920+3.570.265)).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 xml:space="preserve"> 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Drugi korak je odrediti koliku važnost tržište Njemačke i treća tržišta imaju za izvoznike iz BiH,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kako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bismo odredili u kojoj mjeri su izvoznici iz BiH prisutni na tržištu gdje postoji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izravna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konkurencija (tržište Njemačke) odnosno na tržištu gdje postoji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neizravna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konkurencija (treća tržišta). To se postiže izračunom jednostavnog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a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izvoznog pondera koji pokazuje koliko spomenuta dva tržišta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sudjeluju</w:t>
                            </w:r>
                            <w:r w:rsidR="000007E8"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u ukupnom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e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izvozu BiH. Tržište Njemačke u ukupnom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e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izvozu BiH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sudjeluje</w:t>
                            </w:r>
                            <w:r w:rsidR="000007E8"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sa 21% (=183/(183+708)), dok treća tržišta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sudjeluju</w:t>
                            </w:r>
                            <w:r w:rsidR="000007E8"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sa 79%.</w:t>
                            </w:r>
                          </w:p>
                          <w:p w14:paraId="45DBEB44" w14:textId="4684A94C" w:rsidR="00DD3D0B" w:rsidRPr="00FD4AF0" w:rsidRDefault="00DD3D0B" w:rsidP="00FD4A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Kombin</w:t>
                            </w:r>
                            <w:proofErr w:type="spellStart"/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iranje</w:t>
                            </w:r>
                            <w:proofErr w:type="spellEnd"/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m rezultata prvog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a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i drugog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a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koraka dobi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v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a se dvostruko ponderi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r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ani izvozni ponder za Njemačku (važnost koja se Njemačkoj pridaje u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izravnoj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i 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neizravnoj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konkurenciji).</w:t>
                            </w:r>
                          </w:p>
                          <w:p w14:paraId="20DD760F" w14:textId="31B3E078" w:rsidR="00DD3D0B" w:rsidRPr="00FD4AF0" w:rsidRDefault="00DD3D0B" w:rsidP="00FD4A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Ukupni trgovinski ponder dobije </w:t>
                            </w:r>
                            <w:r w:rsidR="000007E8"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se 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kombin</w:t>
                            </w:r>
                            <w:proofErr w:type="spellStart"/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iranjem</w:t>
                            </w:r>
                            <w:proofErr w:type="spellEnd"/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bilateralnog</w:t>
                            </w:r>
                            <w:r w:rsidR="000007E8"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a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uvoznog pondera s dvostruko ponderi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hr-BA"/>
                              </w:rPr>
                              <w:t>r</w:t>
                            </w: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anim izvoznim ponderom. </w:t>
                            </w:r>
                          </w:p>
                          <w:p w14:paraId="3BC9332D" w14:textId="2FC96C41" w:rsidR="00DD3D0B" w:rsidRDefault="00DD3D0B" w:rsidP="00FD4AF0">
                            <w:pPr>
                              <w:jc w:val="both"/>
                            </w:pPr>
                            <w:r w:rsidRPr="00FD4AF0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Jednostavni uvozni ponderi računaju se koristeći uvoz iz Njemačke (=500), gdje jednostavni uvozni ponderi za Njemačku iznose 17% (=500/(500+2.442)).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612E" id="_x0000_s1027" type="#_x0000_t202" style="position:absolute;left:0;text-align:left;margin-left:0;margin-top:0;width:456.75pt;height:373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" fillcolor="#f2f2f2 [3052]">
                <v:textbox>
                  <w:txbxContent>
                    <w:p w14:paraId="778BDA1D" w14:textId="40351688" w:rsidR="00DD3D0B" w:rsidRPr="00FD4AF0" w:rsidRDefault="00DD3D0B" w:rsidP="00FD4AF0">
                      <w:pPr>
                        <w:jc w:val="both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U prva dva koraka cilj nam je odrediti u kojoj mjeri postoji konkurencija između izvoznika iz BiH i proizvođača iz Njemačke na tržištu Njemačke (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izravna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konkurencija), te u kojoj  mjeri postoji konkurencija između izvoznika iz BiH i izvoznika iz Njemačke na trećim tržištima (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neizravna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konkurencija).</w:t>
                      </w:r>
                    </w:p>
                    <w:p w14:paraId="4B3B87F7" w14:textId="1633D8F8" w:rsidR="00DD3D0B" w:rsidRPr="00FD4AF0" w:rsidRDefault="00DD3D0B" w:rsidP="00FD4AF0">
                      <w:pPr>
                        <w:jc w:val="both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Prvi korak jeste određivanje važnosti koju proizvođači iz Njemačke imaju na svo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je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m domaćem tržištu (=283.165), kao i važnosti koju izvoznici iz Njemačke imaju na trećim tržištima (=695.920). Iz ovoga proiz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i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lazi da u ukupnoj ponudi proizvoda koja je prisutna na tržištu Njemačke (isključujući ponudu proizvođača iz BiH), njemački proizvođači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sudjeluju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sa 49% (=283.165/(283.165+293.995)), dok izvoznici s trećih tržišta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sudjeluju</w:t>
                      </w:r>
                      <w:r w:rsidR="000007E8"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sa 51% (=293.995/(283.165+293.995)). Isto tako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,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može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 xml:space="preserve">se 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primijetiti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kako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izvoznici iz Njemačke u ukupnoj ponudi koja je prisutna na trećim tržištima (opet isključujući ponudu proizvođača iz BiH)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sudjeluju</w:t>
                      </w:r>
                      <w:r w:rsidR="000007E8"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sa 16% (=695.920/(695.920+3.570.265)), dok ostatak dolazi od ostalih proizvođača/izvoznika na trećim tržištima 84% (=3.570.265/(695.920+3.570.265)).</w:t>
                      </w:r>
                      <w:r>
                        <w:rPr>
                          <w:rFonts w:ascii="Times New Roman" w:hAnsi="Times New Roman" w:cs="Times New Roman"/>
                          <w:lang w:val="hr-BA"/>
                        </w:rPr>
                        <w:t xml:space="preserve"> 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Drugi korak je odrediti koliku važnost tržište Njemačke i treća tržišta imaju za izvoznike iz BiH,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kako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bismo odredili u kojoj mjeri su izvoznici iz BiH prisutni na tržištu gdje postoji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izravna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konkurencija (tržište Njemačke) odnosno na tržištu gdje postoji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neizravna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konkurencija (treća tržišta). To se postiže izračunom jednostavnog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a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izvoznog pondera koji pokazuje koliko spomenuta dva tržišta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sudjeluju</w:t>
                      </w:r>
                      <w:r w:rsidR="000007E8"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u ukupnom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e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izvozu BiH. Tržište Njemačke u ukupnom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e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izvozu BiH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sudjeluje</w:t>
                      </w:r>
                      <w:r w:rsidR="000007E8"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sa 21% (=183/(183+708)), dok treća tržišta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sudjeluju</w:t>
                      </w:r>
                      <w:r w:rsidR="000007E8"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sa 79%.</w:t>
                      </w:r>
                    </w:p>
                    <w:p w14:paraId="45DBEB44" w14:textId="4684A94C" w:rsidR="00DD3D0B" w:rsidRPr="00FD4AF0" w:rsidRDefault="00DD3D0B" w:rsidP="00FD4AF0">
                      <w:pPr>
                        <w:jc w:val="both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Kombin</w:t>
                      </w:r>
                      <w:proofErr w:type="spellStart"/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iranje</w:t>
                      </w:r>
                      <w:proofErr w:type="spellEnd"/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m rezultata prvog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a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i drugog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a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koraka dobi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v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a se dvostruko ponderi</w:t>
                      </w:r>
                      <w:r>
                        <w:rPr>
                          <w:rFonts w:ascii="Times New Roman" w:hAnsi="Times New Roman" w:cs="Times New Roman"/>
                          <w:lang w:val="hr-BA"/>
                        </w:rPr>
                        <w:t>r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ani izvozni ponder za Njemačku (važnost koja se Njemačkoj pridaje u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izravnoj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i 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neizravnoj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konkurenciji).</w:t>
                      </w:r>
                    </w:p>
                    <w:p w14:paraId="20DD760F" w14:textId="31B3E078" w:rsidR="00DD3D0B" w:rsidRPr="00FD4AF0" w:rsidRDefault="00DD3D0B" w:rsidP="00FD4AF0">
                      <w:pPr>
                        <w:jc w:val="both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Ukupni trgovinski ponder dobije </w:t>
                      </w:r>
                      <w:r w:rsidR="000007E8"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se 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kombin</w:t>
                      </w:r>
                      <w:proofErr w:type="spellStart"/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iranjem</w:t>
                      </w:r>
                      <w:proofErr w:type="spellEnd"/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bilateralnog</w:t>
                      </w:r>
                      <w:r w:rsidR="000007E8">
                        <w:rPr>
                          <w:rFonts w:ascii="Times New Roman" w:hAnsi="Times New Roman" w:cs="Times New Roman"/>
                          <w:lang w:val="hr-BA"/>
                        </w:rPr>
                        <w:t>a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uvoznog pondera s dvostruko ponderi</w:t>
                      </w:r>
                      <w:r>
                        <w:rPr>
                          <w:rFonts w:ascii="Times New Roman" w:hAnsi="Times New Roman" w:cs="Times New Roman"/>
                          <w:lang w:val="hr-BA"/>
                        </w:rPr>
                        <w:t>r</w:t>
                      </w: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anim izvoznim ponderom. </w:t>
                      </w:r>
                    </w:p>
                    <w:p w14:paraId="3BC9332D" w14:textId="2FC96C41" w:rsidR="00DD3D0B" w:rsidRDefault="00DD3D0B" w:rsidP="00FD4AF0">
                      <w:pPr>
                        <w:jc w:val="both"/>
                      </w:pPr>
                      <w:r w:rsidRPr="00FD4AF0">
                        <w:rPr>
                          <w:rFonts w:ascii="Times New Roman" w:hAnsi="Times New Roman" w:cs="Times New Roman"/>
                          <w:lang w:val="sr-Cyrl-RS"/>
                        </w:rPr>
                        <w:t>Jednostavni uvozni ponderi računaju se koristeći uvoz iz Njemačke (=500), gdje jednostavni uvozni ponderi za Njemačku iznose 17% (=500/(500+2.442)).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45395E" w14:textId="0ED169E8" w:rsidR="008120B2" w:rsidRPr="00A93E78" w:rsidRDefault="00FD4AF0" w:rsidP="00F50602">
      <w:pPr>
        <w:pStyle w:val="Heading3"/>
        <w:rPr>
          <w:lang w:val="sr-Cyrl-BA"/>
        </w:rPr>
      </w:pPr>
      <w:proofErr w:type="spellStart"/>
      <w:r w:rsidRPr="00FD4AF0">
        <w:t>Odabir</w:t>
      </w:r>
      <w:proofErr w:type="spellEnd"/>
      <w:r w:rsidRPr="00C216F6">
        <w:rPr>
          <w:lang w:val="sr-Cyrl-BA"/>
        </w:rPr>
        <w:t xml:space="preserve"> </w:t>
      </w:r>
      <w:proofErr w:type="spellStart"/>
      <w:r w:rsidRPr="00FD4AF0">
        <w:t>trgovinskih</w:t>
      </w:r>
      <w:proofErr w:type="spellEnd"/>
      <w:r w:rsidRPr="00C216F6">
        <w:rPr>
          <w:lang w:val="sr-Cyrl-BA"/>
        </w:rPr>
        <w:t xml:space="preserve"> </w:t>
      </w:r>
      <w:proofErr w:type="spellStart"/>
      <w:r w:rsidRPr="00FD4AF0">
        <w:t>partnera</w:t>
      </w:r>
      <w:proofErr w:type="spellEnd"/>
    </w:p>
    <w:p w14:paraId="59F84393" w14:textId="77777777" w:rsidR="008120B2" w:rsidRPr="00ED6A6B" w:rsidRDefault="008120B2" w:rsidP="008120B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FC87E6" w14:textId="79CFB946" w:rsidR="00FD4AF0" w:rsidRPr="00FD4AF0" w:rsidRDefault="00FD4AF0" w:rsidP="00FD4AF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Izbor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zemalja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koje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ulaze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ko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šaricu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određen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na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temelju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hAnsi="Times New Roman" w:cs="Times New Roman"/>
          <w:sz w:val="24"/>
          <w:szCs w:val="24"/>
          <w:lang w:val="hr-BA"/>
        </w:rPr>
        <w:t>udjela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pojedine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zemlje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partnera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ukupnoj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bh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vanjskoj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trgovini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prerađivačke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industrije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(u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rubrikama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5-8 SMTK).</w:t>
      </w:r>
    </w:p>
    <w:p w14:paraId="52EA04B4" w14:textId="60C4910D" w:rsidR="00AC648C" w:rsidRDefault="00FD4AF0" w:rsidP="00FD4AF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Prema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navedenom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kriteriju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grupu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zemalja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za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formiranje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indeksa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efektivnog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tečaja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KM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čini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24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najznačajnija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trgovinska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partnera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Grupu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čine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Austrija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Belgija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Velika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Britanija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Francuska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Nizozemska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Hrvatska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Indija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Italija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Kina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Mađarska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Njemačka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Poljska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Rumunjska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Rusija</w:t>
      </w:r>
      <w:proofErr w:type="spellEnd"/>
      <w:r w:rsidR="00B94502">
        <w:rPr>
          <w:rStyle w:val="FootnoteReference"/>
          <w:rFonts w:ascii="Times New Roman" w:hAnsi="Times New Roman" w:cs="Times New Roman"/>
          <w:sz w:val="24"/>
          <w:szCs w:val="24"/>
          <w:lang w:val="sr-Cyrl-BA"/>
        </w:rPr>
        <w:footnoteReference w:id="2"/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Sjedinjene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Američke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Države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Sjeverna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Makedonija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Slovačka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Slovenija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Srbija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Turska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Crna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Gora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Češka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Šv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i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carska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Španj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olsk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a.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Date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zemlje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čine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oko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90%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ukupne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vanjske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trgovine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prerađivačkim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proizvodima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BiH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. U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da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ustanovi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kako</w:t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neka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od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zemalja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postala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značajniji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trgovinski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partner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potrebno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ju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je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uključiti</w:t>
      </w:r>
      <w:proofErr w:type="spellEnd"/>
      <w:r w:rsidRPr="00FD4AF0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FD4AF0">
        <w:rPr>
          <w:rFonts w:ascii="Times New Roman" w:hAnsi="Times New Roman" w:cs="Times New Roman"/>
          <w:sz w:val="24"/>
          <w:szCs w:val="24"/>
          <w:lang w:val="sr-Cyrl-BA"/>
        </w:rPr>
        <w:t>izračun</w:t>
      </w:r>
      <w:proofErr w:type="spellEnd"/>
      <w:r w:rsidR="00B94502">
        <w:rPr>
          <w:rStyle w:val="FootnoteReference"/>
          <w:rFonts w:ascii="Times New Roman" w:hAnsi="Times New Roman" w:cs="Times New Roman"/>
          <w:sz w:val="24"/>
          <w:szCs w:val="24"/>
          <w:lang w:val="sr-Cyrl-BA"/>
        </w:rPr>
        <w:footnoteReference w:id="3"/>
      </w:r>
      <w:r w:rsidRPr="00FD4AF0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0669488" w14:textId="0A5D0B76" w:rsidR="00EF38CD" w:rsidRDefault="00EF38CD" w:rsidP="00FD4AF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E8D707B" w14:textId="0320E485" w:rsidR="00EF38CD" w:rsidRDefault="00EF38CD" w:rsidP="00FD4AF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FEB80E2" w14:textId="28BC2B48" w:rsidR="00EF38CD" w:rsidRDefault="00EF38CD" w:rsidP="00FD4AF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5D53715" w14:textId="77777777" w:rsidR="00EF38CD" w:rsidRPr="00ED6A6B" w:rsidRDefault="00EF38CD" w:rsidP="00FD4AF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B09A330" w14:textId="133BB4D0" w:rsidR="00373E38" w:rsidRPr="00ED6A6B" w:rsidRDefault="00EF38CD" w:rsidP="0096025B">
      <w:pPr>
        <w:pStyle w:val="Caption"/>
        <w:rPr>
          <w:i w:val="0"/>
          <w:lang w:val="sr-Cyrl-BA"/>
        </w:rPr>
      </w:pPr>
      <w:proofErr w:type="spellStart"/>
      <w:r w:rsidRPr="00EF38CD">
        <w:rPr>
          <w:lang w:val="sr-Cyrl-BA"/>
        </w:rPr>
        <w:t>Slika</w:t>
      </w:r>
      <w:proofErr w:type="spellEnd"/>
      <w:r w:rsidRPr="00EF38CD">
        <w:rPr>
          <w:lang w:val="sr-Cyrl-BA"/>
        </w:rPr>
        <w:t xml:space="preserve"> 2 </w:t>
      </w:r>
      <w:proofErr w:type="spellStart"/>
      <w:r w:rsidRPr="00EF38CD">
        <w:rPr>
          <w:lang w:val="sr-Cyrl-BA"/>
        </w:rPr>
        <w:t>Tržišn</w:t>
      </w:r>
      <w:proofErr w:type="spellEnd"/>
      <w:r w:rsidR="000007E8">
        <w:rPr>
          <w:lang w:val="hr-BA"/>
        </w:rPr>
        <w:t>i udjel</w:t>
      </w:r>
      <w:r w:rsidRPr="00EF38CD">
        <w:rPr>
          <w:lang w:val="sr-Cyrl-BA"/>
        </w:rPr>
        <w:t xml:space="preserve"> u </w:t>
      </w:r>
      <w:r w:rsidR="000007E8">
        <w:rPr>
          <w:lang w:val="hr-BA"/>
        </w:rPr>
        <w:t>vanjsko</w:t>
      </w:r>
      <w:proofErr w:type="spellStart"/>
      <w:r w:rsidRPr="00EF38CD">
        <w:rPr>
          <w:lang w:val="sr-Cyrl-BA"/>
        </w:rPr>
        <w:t>trgovinskoj</w:t>
      </w:r>
      <w:proofErr w:type="spellEnd"/>
      <w:r w:rsidRPr="00EF38CD">
        <w:rPr>
          <w:lang w:val="sr-Cyrl-BA"/>
        </w:rPr>
        <w:t xml:space="preserve"> </w:t>
      </w:r>
      <w:proofErr w:type="spellStart"/>
      <w:r w:rsidRPr="00EF38CD">
        <w:rPr>
          <w:lang w:val="sr-Cyrl-BA"/>
        </w:rPr>
        <w:t>razmjeni</w:t>
      </w:r>
      <w:proofErr w:type="spellEnd"/>
      <w:r w:rsidRPr="00EF38CD">
        <w:rPr>
          <w:lang w:val="sr-Cyrl-BA"/>
        </w:rPr>
        <w:t xml:space="preserve"> </w:t>
      </w:r>
      <w:proofErr w:type="spellStart"/>
      <w:r w:rsidRPr="00EF38CD">
        <w:rPr>
          <w:lang w:val="sr-Cyrl-BA"/>
        </w:rPr>
        <w:t>BiH</w:t>
      </w:r>
      <w:proofErr w:type="spellEnd"/>
      <w:r w:rsidRPr="00EF38CD">
        <w:rPr>
          <w:lang w:val="sr-Cyrl-BA"/>
        </w:rPr>
        <w:t xml:space="preserve"> (5-8 SMTK)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256"/>
        <w:gridCol w:w="1083"/>
        <w:gridCol w:w="1083"/>
        <w:gridCol w:w="1083"/>
        <w:gridCol w:w="1083"/>
        <w:gridCol w:w="1083"/>
        <w:gridCol w:w="1083"/>
      </w:tblGrid>
      <w:tr w:rsidR="009A259C" w:rsidRPr="00ED6A6B" w14:paraId="0AFF5C3E" w14:textId="77777777" w:rsidTr="009A2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7BC63DA1" w14:textId="2338306D" w:rsidR="009A259C" w:rsidRPr="00EF38CD" w:rsidRDefault="00EF38CD" w:rsidP="009A259C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hr-BA" w:eastAsia="bs-Latn-BA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hr-BA" w:eastAsia="bs-Latn-BA"/>
              </w:rPr>
              <w:t>Zemlja</w:t>
            </w:r>
          </w:p>
        </w:tc>
        <w:tc>
          <w:tcPr>
            <w:tcW w:w="0" w:type="auto"/>
            <w:hideMark/>
          </w:tcPr>
          <w:p w14:paraId="7F37377B" w14:textId="02754D0D" w:rsidR="009A259C" w:rsidRPr="00ED6A6B" w:rsidRDefault="00EF38CD" w:rsidP="009A2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hr-BA" w:eastAsia="bs-Latn-BA"/>
              </w:rPr>
              <w:t>Prosjek za</w:t>
            </w:r>
            <w:r w:rsidR="009A259C" w:rsidRPr="00ED6A6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  <w:br/>
              <w:t>2004-2006</w:t>
            </w:r>
          </w:p>
        </w:tc>
        <w:tc>
          <w:tcPr>
            <w:tcW w:w="0" w:type="auto"/>
            <w:hideMark/>
          </w:tcPr>
          <w:p w14:paraId="04585C67" w14:textId="4AFFCB94" w:rsidR="009A259C" w:rsidRPr="00ED6A6B" w:rsidRDefault="00EF38CD" w:rsidP="009A2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hr-BA" w:eastAsia="bs-Latn-BA"/>
              </w:rPr>
              <w:t>Prosjek za</w:t>
            </w:r>
            <w:r w:rsidR="009A259C" w:rsidRPr="00ED6A6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  <w:br/>
              <w:t>2007-2009</w:t>
            </w:r>
          </w:p>
        </w:tc>
        <w:tc>
          <w:tcPr>
            <w:tcW w:w="0" w:type="auto"/>
            <w:hideMark/>
          </w:tcPr>
          <w:p w14:paraId="4CDD927D" w14:textId="5D79F900" w:rsidR="009A259C" w:rsidRPr="00ED6A6B" w:rsidRDefault="00EF38CD" w:rsidP="009A2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hr-BA" w:eastAsia="bs-Latn-BA"/>
              </w:rPr>
              <w:t>Prosjek za</w:t>
            </w:r>
            <w:r w:rsidR="009A259C" w:rsidRPr="00ED6A6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  <w:br/>
              <w:t>2010-2012</w:t>
            </w:r>
          </w:p>
        </w:tc>
        <w:tc>
          <w:tcPr>
            <w:tcW w:w="0" w:type="auto"/>
            <w:hideMark/>
          </w:tcPr>
          <w:p w14:paraId="6B49B2A7" w14:textId="13141856" w:rsidR="009A259C" w:rsidRPr="00ED6A6B" w:rsidRDefault="00EF38CD" w:rsidP="009A2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hr-BA" w:eastAsia="bs-Latn-BA"/>
              </w:rPr>
              <w:t>Prosjek za</w:t>
            </w:r>
            <w:r w:rsidR="009A259C" w:rsidRPr="00ED6A6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  <w:br/>
              <w:t>2013-2015</w:t>
            </w:r>
          </w:p>
        </w:tc>
        <w:tc>
          <w:tcPr>
            <w:tcW w:w="0" w:type="auto"/>
            <w:hideMark/>
          </w:tcPr>
          <w:p w14:paraId="0557AA6E" w14:textId="79814BA4" w:rsidR="009A259C" w:rsidRPr="00ED6A6B" w:rsidRDefault="00EF38CD" w:rsidP="009A2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hr-BA" w:eastAsia="bs-Latn-BA"/>
              </w:rPr>
              <w:t>Prosjek za</w:t>
            </w:r>
            <w:r w:rsidR="009A259C" w:rsidRPr="00ED6A6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  <w:br/>
              <w:t>2016-2018</w:t>
            </w:r>
          </w:p>
        </w:tc>
        <w:tc>
          <w:tcPr>
            <w:tcW w:w="0" w:type="auto"/>
            <w:hideMark/>
          </w:tcPr>
          <w:p w14:paraId="0F31F7E2" w14:textId="596C8C83" w:rsidR="009A259C" w:rsidRPr="00ED6A6B" w:rsidRDefault="00EF38CD" w:rsidP="009A2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hr-BA" w:eastAsia="bs-Latn-BA"/>
              </w:rPr>
              <w:t>Prosjek za</w:t>
            </w:r>
            <w:r w:rsidR="009A259C" w:rsidRPr="00ED6A6B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sr-Cyrl-BA" w:eastAsia="bs-Latn-BA"/>
              </w:rPr>
              <w:br/>
              <w:t>2019-2021</w:t>
            </w:r>
          </w:p>
        </w:tc>
      </w:tr>
      <w:tr w:rsidR="001279D3" w:rsidRPr="00ED6A6B" w14:paraId="77158663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82606A" w14:textId="6D0C4C4C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Austrija</w:t>
            </w:r>
          </w:p>
        </w:tc>
        <w:tc>
          <w:tcPr>
            <w:tcW w:w="0" w:type="auto"/>
            <w:noWrap/>
            <w:hideMark/>
          </w:tcPr>
          <w:p w14:paraId="01B9643B" w14:textId="134A2450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4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4046D4DF" w14:textId="5B1AB2C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4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78613F24" w14:textId="4FB863EB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4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  <w:hideMark/>
          </w:tcPr>
          <w:p w14:paraId="45C04EA6" w14:textId="33585804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5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2%</w:t>
            </w:r>
          </w:p>
        </w:tc>
        <w:tc>
          <w:tcPr>
            <w:tcW w:w="0" w:type="auto"/>
            <w:noWrap/>
            <w:hideMark/>
          </w:tcPr>
          <w:p w14:paraId="7D9618D5" w14:textId="1CF509DB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5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2%</w:t>
            </w:r>
          </w:p>
        </w:tc>
        <w:tc>
          <w:tcPr>
            <w:tcW w:w="0" w:type="auto"/>
            <w:noWrap/>
            <w:vAlign w:val="bottom"/>
            <w:hideMark/>
          </w:tcPr>
          <w:p w14:paraId="02439E1E" w14:textId="48D6B585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5.9%</w:t>
            </w:r>
          </w:p>
        </w:tc>
      </w:tr>
      <w:tr w:rsidR="001279D3" w:rsidRPr="00ED6A6B" w14:paraId="62706465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D18B97" w14:textId="189B7C99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Belgija</w:t>
            </w:r>
          </w:p>
        </w:tc>
        <w:tc>
          <w:tcPr>
            <w:tcW w:w="0" w:type="auto"/>
            <w:noWrap/>
            <w:hideMark/>
          </w:tcPr>
          <w:p w14:paraId="74E4E191" w14:textId="1E4CE9A6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  <w:hideMark/>
          </w:tcPr>
          <w:p w14:paraId="0BAE5CFB" w14:textId="78B4382A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  <w:hideMark/>
          </w:tcPr>
          <w:p w14:paraId="3B31D2D7" w14:textId="68ECB9AE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  <w:hideMark/>
          </w:tcPr>
          <w:p w14:paraId="01724ACA" w14:textId="71EF038C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  <w:hideMark/>
          </w:tcPr>
          <w:p w14:paraId="18ABE234" w14:textId="292D9A1D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  <w:vAlign w:val="bottom"/>
            <w:hideMark/>
          </w:tcPr>
          <w:p w14:paraId="1511AEED" w14:textId="037F1481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0.8%</w:t>
            </w:r>
          </w:p>
        </w:tc>
      </w:tr>
      <w:tr w:rsidR="001279D3" w:rsidRPr="00ED6A6B" w14:paraId="3C3D8722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CC851EC" w14:textId="68065C43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Velika Britanija</w:t>
            </w:r>
          </w:p>
        </w:tc>
        <w:tc>
          <w:tcPr>
            <w:tcW w:w="0" w:type="auto"/>
            <w:noWrap/>
          </w:tcPr>
          <w:p w14:paraId="7BFB70A5" w14:textId="28E9A3B0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</w:tcPr>
          <w:p w14:paraId="781D66B2" w14:textId="03F05C3F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</w:tcPr>
          <w:p w14:paraId="1AF9A524" w14:textId="6A58DA82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</w:tcPr>
          <w:p w14:paraId="76410DE6" w14:textId="040CC73A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</w:tcPr>
          <w:p w14:paraId="38BF16C2" w14:textId="350E5B6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  <w:vAlign w:val="bottom"/>
          </w:tcPr>
          <w:p w14:paraId="15D8E107" w14:textId="5B96861C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0.8%</w:t>
            </w:r>
          </w:p>
        </w:tc>
      </w:tr>
      <w:tr w:rsidR="001279D3" w:rsidRPr="00ED6A6B" w14:paraId="1CECCB47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F760908" w14:textId="715BE7E5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Francuska</w:t>
            </w:r>
          </w:p>
        </w:tc>
        <w:tc>
          <w:tcPr>
            <w:tcW w:w="0" w:type="auto"/>
            <w:noWrap/>
          </w:tcPr>
          <w:p w14:paraId="0E453E0B" w14:textId="46795E07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9%</w:t>
            </w:r>
          </w:p>
        </w:tc>
        <w:tc>
          <w:tcPr>
            <w:tcW w:w="0" w:type="auto"/>
            <w:noWrap/>
          </w:tcPr>
          <w:p w14:paraId="1169E013" w14:textId="12DCE7AE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</w:tcPr>
          <w:p w14:paraId="25C5F599" w14:textId="78E55B5F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</w:tcPr>
          <w:p w14:paraId="366BA701" w14:textId="25F60942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</w:tcPr>
          <w:p w14:paraId="5AF2A296" w14:textId="7A971162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vAlign w:val="bottom"/>
          </w:tcPr>
          <w:p w14:paraId="29542A70" w14:textId="50A6F0CB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2.2%</w:t>
            </w:r>
          </w:p>
        </w:tc>
      </w:tr>
      <w:tr w:rsidR="001279D3" w:rsidRPr="00ED6A6B" w14:paraId="5FA49FA9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04503EE" w14:textId="58C06F62" w:rsidR="001279D3" w:rsidRPr="00EF38CD" w:rsidRDefault="000007E8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Nizozemska</w:t>
            </w:r>
          </w:p>
        </w:tc>
        <w:tc>
          <w:tcPr>
            <w:tcW w:w="0" w:type="auto"/>
            <w:noWrap/>
          </w:tcPr>
          <w:p w14:paraId="02B4B1EF" w14:textId="2FA8C9E7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</w:tcPr>
          <w:p w14:paraId="691AC396" w14:textId="03DDA898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</w:tcPr>
          <w:p w14:paraId="42CE4050" w14:textId="42E6E4F0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</w:tcPr>
          <w:p w14:paraId="7D862057" w14:textId="53B4D77E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</w:tcPr>
          <w:p w14:paraId="1D939D4C" w14:textId="4F5BDFC2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  <w:vAlign w:val="bottom"/>
          </w:tcPr>
          <w:p w14:paraId="43063178" w14:textId="64038D4F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1.7%</w:t>
            </w:r>
          </w:p>
        </w:tc>
      </w:tr>
      <w:tr w:rsidR="001279D3" w:rsidRPr="00ED6A6B" w14:paraId="397CE376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33F2C4C" w14:textId="63691ADA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Hrvatska</w:t>
            </w:r>
          </w:p>
        </w:tc>
        <w:tc>
          <w:tcPr>
            <w:tcW w:w="0" w:type="auto"/>
            <w:noWrap/>
          </w:tcPr>
          <w:p w14:paraId="699340B7" w14:textId="2B9CA4E7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17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9%</w:t>
            </w:r>
          </w:p>
        </w:tc>
        <w:tc>
          <w:tcPr>
            <w:tcW w:w="0" w:type="auto"/>
            <w:noWrap/>
          </w:tcPr>
          <w:p w14:paraId="512695E7" w14:textId="44C9F2AB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16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9%</w:t>
            </w:r>
          </w:p>
        </w:tc>
        <w:tc>
          <w:tcPr>
            <w:tcW w:w="0" w:type="auto"/>
            <w:noWrap/>
          </w:tcPr>
          <w:p w14:paraId="5051AE8F" w14:textId="55A86E0E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14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</w:tcPr>
          <w:p w14:paraId="68A29683" w14:textId="57B8F2D5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</w:tcPr>
          <w:p w14:paraId="40751561" w14:textId="1A53F38D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  <w:vAlign w:val="bottom"/>
          </w:tcPr>
          <w:p w14:paraId="66C1F264" w14:textId="7B13958B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10.7%</w:t>
            </w:r>
          </w:p>
        </w:tc>
      </w:tr>
      <w:tr w:rsidR="001279D3" w:rsidRPr="00ED6A6B" w14:paraId="2E81B23F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72EE662" w14:textId="029BD440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Indija</w:t>
            </w:r>
          </w:p>
        </w:tc>
        <w:tc>
          <w:tcPr>
            <w:tcW w:w="0" w:type="auto"/>
            <w:noWrap/>
          </w:tcPr>
          <w:p w14:paraId="2D490024" w14:textId="2CB2AE6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2%</w:t>
            </w:r>
          </w:p>
        </w:tc>
        <w:tc>
          <w:tcPr>
            <w:tcW w:w="0" w:type="auto"/>
            <w:noWrap/>
          </w:tcPr>
          <w:p w14:paraId="649723F1" w14:textId="6D69601F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</w:tcPr>
          <w:p w14:paraId="154ABD9A" w14:textId="63349174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</w:tcPr>
          <w:p w14:paraId="6F5889BF" w14:textId="594A7CEB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</w:tcPr>
          <w:p w14:paraId="32A94532" w14:textId="3A54FB1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vAlign w:val="bottom"/>
          </w:tcPr>
          <w:p w14:paraId="22D05CB8" w14:textId="5735D81F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0.5%</w:t>
            </w:r>
          </w:p>
        </w:tc>
      </w:tr>
      <w:tr w:rsidR="001279D3" w:rsidRPr="00ED6A6B" w14:paraId="70363432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9FE597" w14:textId="1E565E2D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Italija</w:t>
            </w:r>
          </w:p>
        </w:tc>
        <w:tc>
          <w:tcPr>
            <w:tcW w:w="0" w:type="auto"/>
            <w:noWrap/>
            <w:hideMark/>
          </w:tcPr>
          <w:p w14:paraId="5137AF5E" w14:textId="2C0FE25C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604F76FF" w14:textId="577F4E10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63950A46" w14:textId="177F57B8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67B80003" w14:textId="52AB1495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18E5521A" w14:textId="50651849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vAlign w:val="bottom"/>
            <w:hideMark/>
          </w:tcPr>
          <w:p w14:paraId="308B6F36" w14:textId="75800378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11.5%</w:t>
            </w:r>
          </w:p>
        </w:tc>
      </w:tr>
      <w:tr w:rsidR="001279D3" w:rsidRPr="00ED6A6B" w14:paraId="15F45FE8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7D4A3D" w14:textId="12667D5B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Kina</w:t>
            </w:r>
          </w:p>
        </w:tc>
        <w:tc>
          <w:tcPr>
            <w:tcW w:w="0" w:type="auto"/>
            <w:noWrap/>
            <w:hideMark/>
          </w:tcPr>
          <w:p w14:paraId="6395EB89" w14:textId="10453AD4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0979DDC2" w14:textId="3E20FFFA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3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  <w:hideMark/>
          </w:tcPr>
          <w:p w14:paraId="233D200A" w14:textId="5A5E61B8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3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7B02DAD3" w14:textId="7BDA161E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4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  <w:hideMark/>
          </w:tcPr>
          <w:p w14:paraId="3791BD86" w14:textId="35688D0E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4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vAlign w:val="bottom"/>
            <w:hideMark/>
          </w:tcPr>
          <w:p w14:paraId="6D2094AB" w14:textId="7DC5DBEE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4.9%</w:t>
            </w:r>
          </w:p>
        </w:tc>
      </w:tr>
      <w:tr w:rsidR="001279D3" w:rsidRPr="00ED6A6B" w14:paraId="41D5EE8D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0FFD74" w14:textId="48D600E2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Mađarska</w:t>
            </w:r>
          </w:p>
        </w:tc>
        <w:tc>
          <w:tcPr>
            <w:tcW w:w="0" w:type="auto"/>
            <w:noWrap/>
            <w:hideMark/>
          </w:tcPr>
          <w:p w14:paraId="0F7B317F" w14:textId="60C9B3E0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3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04268D43" w14:textId="5321DC1C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3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5605F8B0" w14:textId="61337AD2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3E225E5D" w14:textId="68FF1EB3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478AFB3D" w14:textId="090CAF62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vAlign w:val="bottom"/>
            <w:hideMark/>
          </w:tcPr>
          <w:p w14:paraId="39D52AC1" w14:textId="646594A1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2.4%</w:t>
            </w:r>
          </w:p>
        </w:tc>
      </w:tr>
      <w:tr w:rsidR="001279D3" w:rsidRPr="00ED6A6B" w14:paraId="3DF8938E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522595" w14:textId="33275E5F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Njemačka</w:t>
            </w:r>
          </w:p>
        </w:tc>
        <w:tc>
          <w:tcPr>
            <w:tcW w:w="0" w:type="auto"/>
            <w:noWrap/>
            <w:hideMark/>
          </w:tcPr>
          <w:p w14:paraId="4978AD0E" w14:textId="2C8C3146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  <w:hideMark/>
          </w:tcPr>
          <w:p w14:paraId="3593C987" w14:textId="70541869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01A718E9" w14:textId="680ECDA1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02736675" w14:textId="0B3FB0CD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13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202E58BE" w14:textId="1451BBE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13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vAlign w:val="bottom"/>
            <w:hideMark/>
          </w:tcPr>
          <w:p w14:paraId="2D0F45E1" w14:textId="28F500D4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13.2%</w:t>
            </w:r>
          </w:p>
        </w:tc>
      </w:tr>
      <w:tr w:rsidR="001279D3" w:rsidRPr="00ED6A6B" w14:paraId="4FBD88F6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41835F" w14:textId="3FEEE810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Poljska</w:t>
            </w:r>
          </w:p>
        </w:tc>
        <w:tc>
          <w:tcPr>
            <w:tcW w:w="0" w:type="auto"/>
            <w:noWrap/>
            <w:hideMark/>
          </w:tcPr>
          <w:p w14:paraId="605987F6" w14:textId="35E34C3A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  <w:hideMark/>
          </w:tcPr>
          <w:p w14:paraId="65C1C7E6" w14:textId="75DB1848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561EB319" w14:textId="2A22F012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  <w:hideMark/>
          </w:tcPr>
          <w:p w14:paraId="72C9992D" w14:textId="2C5EC6FC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  <w:hideMark/>
          </w:tcPr>
          <w:p w14:paraId="3B063E0C" w14:textId="0641FF36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vAlign w:val="bottom"/>
            <w:hideMark/>
          </w:tcPr>
          <w:p w14:paraId="79871F02" w14:textId="59B0D8C5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2.4%</w:t>
            </w:r>
          </w:p>
        </w:tc>
      </w:tr>
      <w:tr w:rsidR="001279D3" w:rsidRPr="00ED6A6B" w14:paraId="1DD0F7C1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3C1B50" w14:textId="26DD72A3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Rumunj</w:t>
            </w:r>
            <w:r w:rsidR="000007E8"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sk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5DF08CA6" w14:textId="4B520B82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  <w:hideMark/>
          </w:tcPr>
          <w:p w14:paraId="7050AC2C" w14:textId="2D773C08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9%</w:t>
            </w:r>
          </w:p>
        </w:tc>
        <w:tc>
          <w:tcPr>
            <w:tcW w:w="0" w:type="auto"/>
            <w:noWrap/>
            <w:hideMark/>
          </w:tcPr>
          <w:p w14:paraId="61E9F517" w14:textId="7E19410E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  <w:hideMark/>
          </w:tcPr>
          <w:p w14:paraId="676C5CC7" w14:textId="503E0788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43302DF0" w14:textId="6BF9B756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2%</w:t>
            </w:r>
          </w:p>
        </w:tc>
        <w:tc>
          <w:tcPr>
            <w:tcW w:w="0" w:type="auto"/>
            <w:noWrap/>
            <w:vAlign w:val="bottom"/>
            <w:hideMark/>
          </w:tcPr>
          <w:p w14:paraId="2A5F1C64" w14:textId="18305741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1.2%</w:t>
            </w:r>
          </w:p>
        </w:tc>
      </w:tr>
      <w:tr w:rsidR="001279D3" w:rsidRPr="00ED6A6B" w14:paraId="54A02975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D6F44" w14:textId="2F6B570B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Rusija</w:t>
            </w:r>
          </w:p>
        </w:tc>
        <w:tc>
          <w:tcPr>
            <w:tcW w:w="0" w:type="auto"/>
            <w:noWrap/>
            <w:hideMark/>
          </w:tcPr>
          <w:p w14:paraId="226280D6" w14:textId="5A00DD36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9%</w:t>
            </w:r>
          </w:p>
        </w:tc>
        <w:tc>
          <w:tcPr>
            <w:tcW w:w="0" w:type="auto"/>
            <w:noWrap/>
            <w:hideMark/>
          </w:tcPr>
          <w:p w14:paraId="37F55268" w14:textId="415E8942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59673041" w14:textId="27C45EA2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6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  <w:hideMark/>
          </w:tcPr>
          <w:p w14:paraId="66B30A99" w14:textId="4E17900F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5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7DAA7961" w14:textId="5536753E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3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vAlign w:val="bottom"/>
            <w:hideMark/>
          </w:tcPr>
          <w:p w14:paraId="0FFF6A5D" w14:textId="21A8517E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0.0%</w:t>
            </w:r>
          </w:p>
        </w:tc>
      </w:tr>
      <w:tr w:rsidR="001279D3" w:rsidRPr="00ED6A6B" w14:paraId="2BD2E01D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6345C6" w14:textId="54C77AD9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Sjedinjene Američke Države</w:t>
            </w:r>
          </w:p>
        </w:tc>
        <w:tc>
          <w:tcPr>
            <w:tcW w:w="0" w:type="auto"/>
            <w:noWrap/>
            <w:hideMark/>
          </w:tcPr>
          <w:p w14:paraId="3E786F5B" w14:textId="42338954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  <w:hideMark/>
          </w:tcPr>
          <w:p w14:paraId="2D54D944" w14:textId="789C29D4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2B1FCC10" w14:textId="3413311C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7DE44ACA" w14:textId="11A4A389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3A162470" w14:textId="6C769F2A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vAlign w:val="bottom"/>
            <w:hideMark/>
          </w:tcPr>
          <w:p w14:paraId="7E80BCAB" w14:textId="0D0E5DD4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2.0%</w:t>
            </w:r>
          </w:p>
        </w:tc>
      </w:tr>
      <w:tr w:rsidR="001279D3" w:rsidRPr="00ED6A6B" w14:paraId="27D1DB52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C72E7" w14:textId="651FAF20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Sjeverna Makedonija</w:t>
            </w:r>
          </w:p>
        </w:tc>
        <w:tc>
          <w:tcPr>
            <w:tcW w:w="0" w:type="auto"/>
            <w:noWrap/>
            <w:hideMark/>
          </w:tcPr>
          <w:p w14:paraId="3100F4DD" w14:textId="08C07396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  <w:hideMark/>
          </w:tcPr>
          <w:p w14:paraId="0CBEA02C" w14:textId="720A2FDB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08138251" w14:textId="663C4D62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  <w:hideMark/>
          </w:tcPr>
          <w:p w14:paraId="6F7B1818" w14:textId="499D0417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6058332C" w14:textId="109AE34B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vAlign w:val="bottom"/>
            <w:hideMark/>
          </w:tcPr>
          <w:p w14:paraId="32B012E6" w14:textId="7B238947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1.0%</w:t>
            </w:r>
          </w:p>
        </w:tc>
      </w:tr>
      <w:tr w:rsidR="001279D3" w:rsidRPr="00ED6A6B" w14:paraId="7391F1F1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C8BF46D" w14:textId="75F18702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Slovačka</w:t>
            </w:r>
          </w:p>
        </w:tc>
        <w:tc>
          <w:tcPr>
            <w:tcW w:w="0" w:type="auto"/>
            <w:noWrap/>
          </w:tcPr>
          <w:p w14:paraId="402CB637" w14:textId="25B7F538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</w:tcPr>
          <w:p w14:paraId="0E5733CD" w14:textId="50D9E50C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</w:tcPr>
          <w:p w14:paraId="426AEE74" w14:textId="52725734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</w:tcPr>
          <w:p w14:paraId="1B4AADB6" w14:textId="1349405B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</w:tcPr>
          <w:p w14:paraId="1AF6E33B" w14:textId="56452B6A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vAlign w:val="bottom"/>
          </w:tcPr>
          <w:p w14:paraId="0C78062F" w14:textId="1362B690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1.0%</w:t>
            </w:r>
          </w:p>
        </w:tc>
      </w:tr>
      <w:tr w:rsidR="001279D3" w:rsidRPr="00ED6A6B" w14:paraId="72E31125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D7A37E" w14:textId="5E6A802D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Slovenija</w:t>
            </w:r>
          </w:p>
        </w:tc>
        <w:tc>
          <w:tcPr>
            <w:tcW w:w="0" w:type="auto"/>
            <w:noWrap/>
            <w:hideMark/>
          </w:tcPr>
          <w:p w14:paraId="43A7F649" w14:textId="5D028C56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8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1DA01C5F" w14:textId="2576E267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7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  <w:hideMark/>
          </w:tcPr>
          <w:p w14:paraId="226D37CA" w14:textId="6FB322B4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6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5301FA9A" w14:textId="38BDC735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6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0DF7C4F5" w14:textId="2ABD7C1B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6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vAlign w:val="bottom"/>
            <w:hideMark/>
          </w:tcPr>
          <w:p w14:paraId="754BAAC4" w14:textId="5FEC1F21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6.3%</w:t>
            </w:r>
          </w:p>
        </w:tc>
      </w:tr>
      <w:tr w:rsidR="001279D3" w:rsidRPr="00ED6A6B" w14:paraId="277F41DD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15A0AC" w14:textId="38A4B085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Srbija</w:t>
            </w:r>
          </w:p>
        </w:tc>
        <w:tc>
          <w:tcPr>
            <w:tcW w:w="0" w:type="auto"/>
            <w:noWrap/>
            <w:hideMark/>
          </w:tcPr>
          <w:p w14:paraId="34C18D13" w14:textId="543CDD56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004DDA4A" w14:textId="3A649112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45BBE7D4" w14:textId="04303F90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54B98A88" w14:textId="767939F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9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  <w:hideMark/>
          </w:tcPr>
          <w:p w14:paraId="6D045573" w14:textId="6712B046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  <w:vAlign w:val="bottom"/>
            <w:hideMark/>
          </w:tcPr>
          <w:p w14:paraId="5A4F1902" w14:textId="20816178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11.3%</w:t>
            </w:r>
          </w:p>
        </w:tc>
      </w:tr>
      <w:tr w:rsidR="001279D3" w:rsidRPr="00ED6A6B" w14:paraId="65880993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0E707C" w14:textId="6BCDAF51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Srbija i Crna Gora</w:t>
            </w:r>
          </w:p>
        </w:tc>
        <w:tc>
          <w:tcPr>
            <w:tcW w:w="0" w:type="auto"/>
            <w:noWrap/>
            <w:hideMark/>
          </w:tcPr>
          <w:p w14:paraId="3CFE1D8A" w14:textId="253AFA41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7BBFFE76" w14:textId="1667124B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0F91F213" w14:textId="1E8F32EC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6D008A75" w14:textId="268848D4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48CC9640" w14:textId="2D816DF1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vAlign w:val="bottom"/>
            <w:hideMark/>
          </w:tcPr>
          <w:p w14:paraId="6BACF6E1" w14:textId="59F761DA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0.0%</w:t>
            </w:r>
          </w:p>
        </w:tc>
      </w:tr>
      <w:tr w:rsidR="001279D3" w:rsidRPr="00ED6A6B" w14:paraId="4D2C2632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445B6" w14:textId="446E2D0C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Turska</w:t>
            </w:r>
          </w:p>
        </w:tc>
        <w:tc>
          <w:tcPr>
            <w:tcW w:w="0" w:type="auto"/>
            <w:noWrap/>
            <w:hideMark/>
          </w:tcPr>
          <w:p w14:paraId="065333E2" w14:textId="7B4EDC8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40FA13A2" w14:textId="02FC1D8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3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54CFFFF9" w14:textId="6BCB8DF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4A9BD04B" w14:textId="7AB76D4F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3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5692A91B" w14:textId="3846676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4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  <w:vAlign w:val="bottom"/>
            <w:hideMark/>
          </w:tcPr>
          <w:p w14:paraId="536E652C" w14:textId="0908CC06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4.3%</w:t>
            </w:r>
          </w:p>
        </w:tc>
      </w:tr>
      <w:tr w:rsidR="001279D3" w:rsidRPr="00ED6A6B" w14:paraId="2ECB3F99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22481" w14:textId="629C7A12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Crna Gora</w:t>
            </w:r>
          </w:p>
        </w:tc>
        <w:tc>
          <w:tcPr>
            <w:tcW w:w="0" w:type="auto"/>
            <w:noWrap/>
            <w:hideMark/>
          </w:tcPr>
          <w:p w14:paraId="7FFF489E" w14:textId="43D9AFAC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7F91DAD8" w14:textId="3F1BDE8D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2%</w:t>
            </w:r>
          </w:p>
        </w:tc>
        <w:tc>
          <w:tcPr>
            <w:tcW w:w="0" w:type="auto"/>
            <w:noWrap/>
            <w:hideMark/>
          </w:tcPr>
          <w:p w14:paraId="19857DA4" w14:textId="43A47228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3131C915" w14:textId="4F9B8490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5DFBEF90" w14:textId="605A8522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4%</w:t>
            </w:r>
          </w:p>
        </w:tc>
        <w:tc>
          <w:tcPr>
            <w:tcW w:w="0" w:type="auto"/>
            <w:noWrap/>
            <w:vAlign w:val="bottom"/>
            <w:hideMark/>
          </w:tcPr>
          <w:p w14:paraId="25224559" w14:textId="42EF3A77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1.3%</w:t>
            </w:r>
          </w:p>
        </w:tc>
      </w:tr>
      <w:tr w:rsidR="001279D3" w:rsidRPr="00ED6A6B" w14:paraId="056B09A9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41A4FF5" w14:textId="7EF96140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Češka</w:t>
            </w:r>
          </w:p>
        </w:tc>
        <w:tc>
          <w:tcPr>
            <w:tcW w:w="0" w:type="auto"/>
            <w:noWrap/>
          </w:tcPr>
          <w:p w14:paraId="507A15E9" w14:textId="6C13DA0B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9%</w:t>
            </w:r>
          </w:p>
        </w:tc>
        <w:tc>
          <w:tcPr>
            <w:tcW w:w="0" w:type="auto"/>
            <w:noWrap/>
          </w:tcPr>
          <w:p w14:paraId="76A7766A" w14:textId="43D28273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</w:tcPr>
          <w:p w14:paraId="1176BA7F" w14:textId="1407D6DC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</w:tcPr>
          <w:p w14:paraId="12DD4287" w14:textId="6F06820D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6%</w:t>
            </w:r>
          </w:p>
        </w:tc>
        <w:tc>
          <w:tcPr>
            <w:tcW w:w="0" w:type="auto"/>
            <w:noWrap/>
          </w:tcPr>
          <w:p w14:paraId="4D4DE4D9" w14:textId="1F2D5705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  <w:vAlign w:val="bottom"/>
          </w:tcPr>
          <w:p w14:paraId="40512E53" w14:textId="33403077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1.5%</w:t>
            </w:r>
          </w:p>
        </w:tc>
      </w:tr>
      <w:tr w:rsidR="001279D3" w:rsidRPr="00ED6A6B" w14:paraId="45D2511A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653A95F" w14:textId="44E42DF5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Šv</w:t>
            </w:r>
            <w:r w:rsidR="000007E8"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i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carska</w:t>
            </w:r>
          </w:p>
        </w:tc>
        <w:tc>
          <w:tcPr>
            <w:tcW w:w="0" w:type="auto"/>
            <w:noWrap/>
          </w:tcPr>
          <w:p w14:paraId="129584B8" w14:textId="1097FB88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2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</w:tcPr>
          <w:p w14:paraId="0D114D34" w14:textId="5E0ABB13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</w:tcPr>
          <w:p w14:paraId="6BCB8CDE" w14:textId="10ACEF2F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</w:tcPr>
          <w:p w14:paraId="7AE81DB3" w14:textId="74FEBCEB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9%</w:t>
            </w:r>
          </w:p>
        </w:tc>
        <w:tc>
          <w:tcPr>
            <w:tcW w:w="0" w:type="auto"/>
            <w:noWrap/>
          </w:tcPr>
          <w:p w14:paraId="35C86260" w14:textId="51D87004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vAlign w:val="bottom"/>
          </w:tcPr>
          <w:p w14:paraId="6372CA93" w14:textId="7C8C5C9F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1.3%</w:t>
            </w:r>
          </w:p>
        </w:tc>
      </w:tr>
      <w:tr w:rsidR="001279D3" w:rsidRPr="00ED6A6B" w14:paraId="2C129FDC" w14:textId="77777777" w:rsidTr="0068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11020A8" w14:textId="20A0470A" w:rsidR="001279D3" w:rsidRPr="00EF38CD" w:rsidRDefault="00EF38CD" w:rsidP="001279D3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Španj</w:t>
            </w:r>
            <w:r w:rsidR="000007E8"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olsk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val="hr-BA" w:eastAsia="bs-Latn-BA"/>
              </w:rPr>
              <w:t>a</w:t>
            </w:r>
          </w:p>
        </w:tc>
        <w:tc>
          <w:tcPr>
            <w:tcW w:w="0" w:type="auto"/>
            <w:noWrap/>
          </w:tcPr>
          <w:p w14:paraId="52C1A00D" w14:textId="45013A26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</w:tcPr>
          <w:p w14:paraId="6925F673" w14:textId="0C442084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0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</w:tcPr>
          <w:p w14:paraId="706C90E9" w14:textId="148B652C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</w:tcPr>
          <w:p w14:paraId="10003382" w14:textId="34B9075E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1%</w:t>
            </w:r>
          </w:p>
        </w:tc>
        <w:tc>
          <w:tcPr>
            <w:tcW w:w="0" w:type="auto"/>
            <w:noWrap/>
          </w:tcPr>
          <w:p w14:paraId="72C4B540" w14:textId="2A20E204" w:rsidR="001279D3" w:rsidRPr="00ED6A6B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sz w:val="18"/>
                <w:szCs w:val="18"/>
              </w:rPr>
              <w:t>1</w:t>
            </w:r>
            <w:r>
              <w:rPr>
                <w:rFonts w:ascii="Times" w:hAnsi="Times" w:cs="Times"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sz w:val="18"/>
                <w:szCs w:val="18"/>
              </w:rPr>
              <w:t>2%</w:t>
            </w:r>
          </w:p>
        </w:tc>
        <w:tc>
          <w:tcPr>
            <w:tcW w:w="0" w:type="auto"/>
            <w:noWrap/>
            <w:vAlign w:val="bottom"/>
          </w:tcPr>
          <w:p w14:paraId="7F6A4CD6" w14:textId="1B6780A7" w:rsidR="001279D3" w:rsidRPr="006811C3" w:rsidRDefault="001279D3" w:rsidP="001279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18"/>
                <w:szCs w:val="18"/>
              </w:rPr>
            </w:pPr>
            <w:r w:rsidRPr="006811C3">
              <w:rPr>
                <w:rFonts w:ascii="Times" w:hAnsi="Times" w:cs="Times"/>
                <w:sz w:val="18"/>
                <w:szCs w:val="18"/>
              </w:rPr>
              <w:t>0.9%</w:t>
            </w:r>
          </w:p>
        </w:tc>
      </w:tr>
      <w:tr w:rsidR="001279D3" w:rsidRPr="00ED6A6B" w14:paraId="44544662" w14:textId="77777777" w:rsidTr="006811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7E3B45" w14:textId="55DAC705" w:rsidR="001279D3" w:rsidRPr="000007E8" w:rsidRDefault="00EF38CD" w:rsidP="001279D3">
            <w:pPr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hr-BA" w:eastAsia="bs-Latn-BA"/>
              </w:rPr>
            </w:pPr>
            <w:proofErr w:type="spellStart"/>
            <w:r w:rsidRPr="00EF38CD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sr-Cyrl-BA" w:eastAsia="bs-Latn-BA"/>
              </w:rPr>
              <w:t>Ukupni</w:t>
            </w:r>
            <w:proofErr w:type="spellEnd"/>
            <w:r w:rsidRPr="00EF38CD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sr-Cyrl-BA" w:eastAsia="bs-Latn-BA"/>
              </w:rPr>
              <w:t xml:space="preserve"> </w:t>
            </w:r>
            <w:proofErr w:type="spellStart"/>
            <w:r w:rsidRPr="00EF38CD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sr-Cyrl-BA" w:eastAsia="bs-Latn-BA"/>
              </w:rPr>
              <w:t>tržišni</w:t>
            </w:r>
            <w:proofErr w:type="spellEnd"/>
            <w:r w:rsidRPr="00EF38CD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sr-Cyrl-BA" w:eastAsia="bs-Latn-BA"/>
              </w:rPr>
              <w:t xml:space="preserve"> </w:t>
            </w:r>
            <w:proofErr w:type="spellStart"/>
            <w:r w:rsidRPr="00EF38CD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sr-Cyrl-BA" w:eastAsia="bs-Latn-BA"/>
              </w:rPr>
              <w:t>ud</w:t>
            </w:r>
            <w:r w:rsidR="000007E8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hr-BA" w:eastAsia="bs-Latn-BA"/>
              </w:rPr>
              <w:t>jel</w:t>
            </w:r>
            <w:proofErr w:type="spellEnd"/>
          </w:p>
        </w:tc>
        <w:tc>
          <w:tcPr>
            <w:tcW w:w="0" w:type="auto"/>
            <w:noWrap/>
            <w:hideMark/>
          </w:tcPr>
          <w:p w14:paraId="75B4A453" w14:textId="08245203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b/>
                <w:bCs/>
                <w:sz w:val="18"/>
                <w:szCs w:val="18"/>
              </w:rPr>
              <w:t>90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b/>
                <w:bCs/>
                <w:sz w:val="18"/>
                <w:szCs w:val="18"/>
              </w:rPr>
              <w:t>7%</w:t>
            </w:r>
          </w:p>
        </w:tc>
        <w:tc>
          <w:tcPr>
            <w:tcW w:w="0" w:type="auto"/>
            <w:noWrap/>
            <w:hideMark/>
          </w:tcPr>
          <w:p w14:paraId="2E10F153" w14:textId="484D9D4F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b/>
                <w:bCs/>
                <w:sz w:val="18"/>
                <w:szCs w:val="18"/>
              </w:rPr>
              <w:t>91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b/>
                <w:bCs/>
                <w:sz w:val="18"/>
                <w:szCs w:val="18"/>
              </w:rPr>
              <w:t>8%</w:t>
            </w:r>
          </w:p>
        </w:tc>
        <w:tc>
          <w:tcPr>
            <w:tcW w:w="0" w:type="auto"/>
            <w:noWrap/>
            <w:hideMark/>
          </w:tcPr>
          <w:p w14:paraId="5B06C9A7" w14:textId="534926D6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b/>
                <w:bCs/>
                <w:sz w:val="18"/>
                <w:szCs w:val="18"/>
              </w:rPr>
              <w:t>90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2E72F6F7" w14:textId="670C8131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b/>
                <w:bCs/>
                <w:sz w:val="18"/>
                <w:szCs w:val="18"/>
              </w:rPr>
              <w:t>90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0" w:type="auto"/>
            <w:noWrap/>
            <w:hideMark/>
          </w:tcPr>
          <w:p w14:paraId="0B793FC5" w14:textId="57F14BA8" w:rsidR="001279D3" w:rsidRPr="00ED6A6B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val="sr-Cyrl-BA" w:eastAsia="bs-Latn-BA"/>
              </w:rPr>
            </w:pPr>
            <w:r w:rsidRPr="00ED6A6B">
              <w:rPr>
                <w:rFonts w:ascii="Times" w:hAnsi="Times" w:cs="Times"/>
                <w:b/>
                <w:bCs/>
                <w:sz w:val="18"/>
                <w:szCs w:val="18"/>
              </w:rPr>
              <w:t>90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,</w:t>
            </w:r>
            <w:r w:rsidRPr="00ED6A6B">
              <w:rPr>
                <w:rFonts w:ascii="Times" w:hAnsi="Times" w:cs="Times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0" w:type="auto"/>
            <w:noWrap/>
            <w:vAlign w:val="bottom"/>
            <w:hideMark/>
          </w:tcPr>
          <w:p w14:paraId="45901A78" w14:textId="6CBF539E" w:rsidR="001279D3" w:rsidRPr="006811C3" w:rsidRDefault="001279D3" w:rsidP="001279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sz w:val="18"/>
                <w:szCs w:val="18"/>
              </w:rPr>
            </w:pPr>
            <w:r w:rsidRPr="006811C3">
              <w:rPr>
                <w:rFonts w:ascii="Times" w:hAnsi="Times" w:cs="Times"/>
                <w:b/>
                <w:bCs/>
                <w:sz w:val="18"/>
                <w:szCs w:val="18"/>
              </w:rPr>
              <w:t>89.2%</w:t>
            </w:r>
          </w:p>
        </w:tc>
      </w:tr>
    </w:tbl>
    <w:p w14:paraId="701D00CE" w14:textId="185370E7" w:rsidR="009A259C" w:rsidRPr="00ED6A6B" w:rsidRDefault="009A259C" w:rsidP="00F50602">
      <w:pPr>
        <w:pStyle w:val="Heading3"/>
      </w:pPr>
    </w:p>
    <w:p w14:paraId="0299CF67" w14:textId="77777777" w:rsidR="00AC648C" w:rsidRPr="00ED6A6B" w:rsidRDefault="00AC648C" w:rsidP="00AC648C">
      <w:pPr>
        <w:rPr>
          <w:lang w:val="en-US"/>
        </w:rPr>
      </w:pPr>
    </w:p>
    <w:p w14:paraId="23B4CB8F" w14:textId="6FD77111" w:rsidR="00BE3E50" w:rsidRPr="00ED6A6B" w:rsidRDefault="00EF38CD" w:rsidP="00F50602">
      <w:pPr>
        <w:pStyle w:val="Heading3"/>
      </w:pPr>
      <w:proofErr w:type="spellStart"/>
      <w:r w:rsidRPr="00EF38CD">
        <w:t>Ažuriranje</w:t>
      </w:r>
      <w:proofErr w:type="spellEnd"/>
      <w:r w:rsidRPr="00EF38CD">
        <w:t xml:space="preserve"> </w:t>
      </w:r>
      <w:proofErr w:type="spellStart"/>
      <w:r w:rsidRPr="00EF38CD">
        <w:t>pondera</w:t>
      </w:r>
      <w:proofErr w:type="spellEnd"/>
    </w:p>
    <w:p w14:paraId="3FCE87A4" w14:textId="77777777" w:rsidR="00AC648C" w:rsidRPr="00ED6A6B" w:rsidRDefault="00AC648C" w:rsidP="00AC648C">
      <w:pPr>
        <w:rPr>
          <w:lang w:val="en-US"/>
        </w:rPr>
      </w:pPr>
    </w:p>
    <w:p w14:paraId="14539D32" w14:textId="1F19B981" w:rsidR="00EF38CD" w:rsidRPr="00EF38CD" w:rsidRDefault="00EF38CD" w:rsidP="00EF38C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Trgovinski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vremenski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promjenjivi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izračunavaju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kroz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trogodišnj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razdoblja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koj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preklapaju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Takođe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r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fiksni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smislu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korištenja istih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cijel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razdoblje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sve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dok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podaci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trogodišnji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007E8">
        <w:rPr>
          <w:rFonts w:ascii="Times New Roman" w:hAnsi="Times New Roman" w:cs="Times New Roman"/>
          <w:sz w:val="24"/>
          <w:szCs w:val="24"/>
          <w:lang w:val="hr-BA"/>
        </w:rPr>
        <w:t>vanjsk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>otrgovinski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podaci</w:t>
      </w:r>
      <w:proofErr w:type="spellEnd"/>
      <w:r w:rsidR="002D3071">
        <w:rPr>
          <w:rStyle w:val="FootnoteReference"/>
          <w:rFonts w:ascii="Times New Roman" w:hAnsi="Times New Roman" w:cs="Times New Roman"/>
          <w:sz w:val="24"/>
          <w:szCs w:val="24"/>
          <w:lang w:val="sr-Cyrl-BA"/>
        </w:rPr>
        <w:footnoteReference w:id="4"/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naredn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razdoblje</w:t>
      </w:r>
      <w:r w:rsidR="000007E8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budu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dostupni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Prednost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koriš</w:t>
      </w:r>
      <w:proofErr w:type="spellEnd"/>
      <w:r w:rsidR="00543697">
        <w:rPr>
          <w:rFonts w:ascii="Times New Roman" w:hAnsi="Times New Roman" w:cs="Times New Roman"/>
          <w:sz w:val="24"/>
          <w:szCs w:val="24"/>
          <w:lang w:val="hr-BA"/>
        </w:rPr>
        <w:t>t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enja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trogodišnjeg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prosjeka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razliku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od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trgovinskih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koji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ažuriraju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češće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jeste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izbjegavanje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ut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je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caja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velikih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fluktuacija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podacima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zbog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potencijalnih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kratkoročnih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promjena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="000007E8">
        <w:rPr>
          <w:rFonts w:ascii="Times New Roman" w:hAnsi="Times New Roman" w:cs="Times New Roman"/>
          <w:sz w:val="24"/>
          <w:szCs w:val="24"/>
          <w:lang w:val="hr-BA"/>
        </w:rPr>
        <w:t>vanjsk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>otrgovinskim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tokovima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Češće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ažuriranje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podrazumijeva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dodatne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revizije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podataka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što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bi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moglo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dodatno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hAnsi="Times New Roman" w:cs="Times New Roman"/>
          <w:sz w:val="24"/>
          <w:szCs w:val="24"/>
          <w:lang w:val="hr-BA"/>
        </w:rPr>
        <w:t>zakomplicirati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analizu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konkurentnosti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744F2C3E" w14:textId="24B53156" w:rsidR="00AC648C" w:rsidRDefault="00EF38CD" w:rsidP="00EF38C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temelju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trgovinskih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podataka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trenutno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dostupni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216F6">
        <w:rPr>
          <w:rFonts w:ascii="Times New Roman" w:hAnsi="Times New Roman" w:cs="Times New Roman"/>
          <w:sz w:val="24"/>
          <w:szCs w:val="24"/>
          <w:lang w:val="sr-Latn-BA"/>
        </w:rPr>
        <w:t>šes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t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trogodišnjih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razdoblja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: 2004.-2006., 2007.-2009., 2010.-2012., 2013.-2015., 2016.-2018. i 2019.-2021.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Razdoblja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skladu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s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razdobljima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koristi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i E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u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ropska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007E8">
        <w:rPr>
          <w:rFonts w:ascii="Times New Roman" w:hAnsi="Times New Roman" w:cs="Times New Roman"/>
          <w:sz w:val="24"/>
          <w:szCs w:val="24"/>
          <w:lang w:val="hr-BA"/>
        </w:rPr>
        <w:t>središnj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a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banka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(u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dalj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nj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em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tekstu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ECB),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kao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neke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druge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institucije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što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omoguć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uje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izravnu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s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poredivost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usklađivanje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8744D67" w14:textId="30CA4268" w:rsidR="00EF38CD" w:rsidRDefault="00EF38CD" w:rsidP="00EF38C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A626F63" w14:textId="0D58207B" w:rsidR="00EF38CD" w:rsidRDefault="00EF38CD" w:rsidP="00EF38C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8E2B74C" w14:textId="77777777" w:rsidR="00EF38CD" w:rsidRPr="00ED6A6B" w:rsidRDefault="00EF38CD" w:rsidP="00EF38C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AED0021" w14:textId="509EAD93" w:rsidR="002F4F7E" w:rsidRPr="00A54163" w:rsidRDefault="00EF38CD" w:rsidP="00F50602">
      <w:pPr>
        <w:pStyle w:val="Heading3"/>
        <w:rPr>
          <w:lang w:val="sr-Cyrl-BA"/>
        </w:rPr>
      </w:pPr>
      <w:proofErr w:type="spellStart"/>
      <w:r w:rsidRPr="00EF38CD">
        <w:rPr>
          <w:lang w:val="sr-Cyrl-BA"/>
        </w:rPr>
        <w:t>Metod</w:t>
      </w:r>
      <w:proofErr w:type="spellEnd"/>
      <w:r w:rsidR="00543697">
        <w:rPr>
          <w:lang w:val="hr-BA"/>
        </w:rPr>
        <w:t>a</w:t>
      </w:r>
      <w:r w:rsidRPr="00EF38CD">
        <w:rPr>
          <w:lang w:val="sr-Cyrl-BA"/>
        </w:rPr>
        <w:t xml:space="preserve"> </w:t>
      </w:r>
      <w:proofErr w:type="spellStart"/>
      <w:r w:rsidRPr="00EF38CD">
        <w:rPr>
          <w:lang w:val="sr-Cyrl-BA"/>
        </w:rPr>
        <w:t>ponderi</w:t>
      </w:r>
      <w:proofErr w:type="spellEnd"/>
      <w:r w:rsidR="00543697">
        <w:rPr>
          <w:lang w:val="hr-BA"/>
        </w:rPr>
        <w:t>r</w:t>
      </w:r>
      <w:proofErr w:type="spellStart"/>
      <w:r w:rsidRPr="00EF38CD">
        <w:rPr>
          <w:lang w:val="sr-Cyrl-BA"/>
        </w:rPr>
        <w:t>anja</w:t>
      </w:r>
      <w:proofErr w:type="spellEnd"/>
    </w:p>
    <w:p w14:paraId="5A1CC850" w14:textId="77777777" w:rsidR="00AC648C" w:rsidRPr="00ED6A6B" w:rsidRDefault="00AC648C" w:rsidP="00AC648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4CACCE83" w14:textId="182C3954" w:rsidR="00EF38CD" w:rsidRPr="00EF38CD" w:rsidRDefault="00EF38CD" w:rsidP="00EF38C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s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pristupom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koji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koristi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BIS i ECB, i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CBBiH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koristi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pretpostavku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izvoznici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BiH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suočavaju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s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ukupnim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brojem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izvoznih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tržišta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"H" (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čemu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H = N + R; "N"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označava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trgovinske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partnere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dok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"R"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označava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zemlje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navedene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kao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"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ostatak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svijeta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").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Pretpostavlja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zemlje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ulaze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referentu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grupu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izračun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efektivnog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07E8">
        <w:rPr>
          <w:rFonts w:ascii="Times New Roman" w:hAnsi="Times New Roman" w:cs="Times New Roman"/>
          <w:sz w:val="24"/>
          <w:szCs w:val="24"/>
          <w:lang w:val="hr-BA"/>
        </w:rPr>
        <w:t>tečaja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jedini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ponuđači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H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stranim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tržištima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izvoz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prerađivačkih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proizvoda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kao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domaća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proizvodnja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prerađivačke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industrije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zemalja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nisu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uključene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referentnu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grupu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tj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ostatak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svijeta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),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konkuri</w:t>
      </w:r>
      <w:proofErr w:type="spellEnd"/>
      <w:r w:rsidR="000007E8">
        <w:rPr>
          <w:rFonts w:ascii="Times New Roman" w:hAnsi="Times New Roman" w:cs="Times New Roman"/>
          <w:sz w:val="24"/>
          <w:szCs w:val="24"/>
          <w:lang w:val="hr-BA"/>
        </w:rPr>
        <w:t>raj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proizvodima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zemalja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uključene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referentnu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grupu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0AC8344" w14:textId="096930DB" w:rsidR="00716870" w:rsidRPr="00ED6A6B" w:rsidRDefault="000007E8" w:rsidP="00EF38C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Udjel</w:t>
      </w:r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svakog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pojedinačnog</w:t>
      </w:r>
      <w:proofErr w:type="spellEnd"/>
      <w:r w:rsidR="004532A1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tržišta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ukupnom</w:t>
      </w:r>
      <w:proofErr w:type="spellEnd"/>
      <w:r w:rsidR="004532A1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izvozu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BiH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računa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543697"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="00543697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kao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3534ABCF" w14:textId="77777777" w:rsidR="00D74E7F" w:rsidRPr="00ED6A6B" w:rsidRDefault="007E584F" w:rsidP="008230C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a</m:t>
                  </m:r>
                </m:sup>
              </m:sSubSup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H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Cyrl-B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a</m:t>
                      </m:r>
                    </m:sup>
                  </m:sSubSup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,       j=1,2,…,H</m:t>
          </m:r>
        </m:oMath>
      </m:oMathPara>
    </w:p>
    <w:p w14:paraId="40AFF173" w14:textId="21C662D5" w:rsidR="00E13B63" w:rsidRPr="00ED6A6B" w:rsidRDefault="004532A1" w:rsidP="00D74E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g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dje</w:t>
      </w:r>
      <w:proofErr w:type="spellEnd"/>
      <w:r w:rsidR="00D74E7F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a</m:t>
            </m:r>
          </m:sup>
        </m:sSubSup>
      </m:oMath>
      <w:r w:rsidR="00D74E7F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predstavlja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izvoz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BiH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referentnom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razdoblju</w:t>
      </w:r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prosjek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ukupnog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izvoza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BiH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trogodišnjem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razdoblju</w:t>
      </w:r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usmjeren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prema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tržištu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13B63" w:rsidRPr="00ED6A6B">
        <w:rPr>
          <w:rFonts w:ascii="Times New Roman" w:hAnsi="Times New Roman" w:cs="Times New Roman"/>
          <w:i/>
          <w:sz w:val="24"/>
          <w:szCs w:val="24"/>
          <w:lang w:val="sr-Cyrl-BA"/>
        </w:rPr>
        <w:t>j</w:t>
      </w:r>
      <w:r w:rsidR="00E13B63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16870" w:rsidRPr="00ED6A6B">
        <w:rPr>
          <w:rFonts w:ascii="Times New Roman" w:hAnsi="Times New Roman" w:cs="Times New Roman"/>
          <w:sz w:val="24"/>
          <w:szCs w:val="24"/>
          <w:lang w:val="sr-Cyrl-BA"/>
        </w:rPr>
        <w:t>(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to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su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tržišta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svih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zemalja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a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ne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samo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onih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prema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kojima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mjeri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vanjska</w:t>
      </w:r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vrijednost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KM</w:t>
      </w:r>
      <w:r w:rsidR="00E13B63" w:rsidRPr="00ED6A6B">
        <w:rPr>
          <w:rFonts w:ascii="Times New Roman" w:hAnsi="Times New Roman" w:cs="Times New Roman"/>
          <w:sz w:val="24"/>
          <w:szCs w:val="24"/>
          <w:lang w:val="sr-Cyrl-BA"/>
        </w:rPr>
        <w:t>).</w:t>
      </w:r>
    </w:p>
    <w:p w14:paraId="38CEAD08" w14:textId="7ADB61AA" w:rsidR="00373E38" w:rsidRPr="00ED6A6B" w:rsidRDefault="00EF38CD" w:rsidP="00E13B6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Prilagođavanjem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jednostavnih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izvoznih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hAnsi="Times New Roman" w:cs="Times New Roman"/>
          <w:sz w:val="24"/>
          <w:szCs w:val="24"/>
          <w:lang w:val="hr-BA"/>
        </w:rPr>
        <w:t>udjela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konkurenciju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trećim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tržištima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dobi</w:t>
      </w:r>
      <w:proofErr w:type="spellEnd"/>
      <w:r w:rsidR="004532A1">
        <w:rPr>
          <w:rFonts w:ascii="Times New Roman" w:hAnsi="Times New Roman" w:cs="Times New Roman"/>
          <w:sz w:val="24"/>
          <w:szCs w:val="24"/>
          <w:lang w:val="hr-BA"/>
        </w:rPr>
        <w:t>v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a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svaku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pojedinu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zemlju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koja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čini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referentnu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grupu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dvostruko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ponderi</w:t>
      </w:r>
      <w:proofErr w:type="spellEnd"/>
      <w:r w:rsidR="00283FDB">
        <w:rPr>
          <w:rFonts w:ascii="Times New Roman" w:hAnsi="Times New Roman" w:cs="Times New Roman"/>
          <w:sz w:val="24"/>
          <w:szCs w:val="24"/>
          <w:lang w:val="hr-BA"/>
        </w:rPr>
        <w:t>r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ani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izvozni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eng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double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–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export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weights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svakog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trgovinskog</w:t>
      </w:r>
      <w:proofErr w:type="spellEnd"/>
      <w:r w:rsidR="004532A1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partnera</w:t>
      </w:r>
      <w:proofErr w:type="spellEnd"/>
      <w:r w:rsidR="00E13B63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74E7F" w:rsidRPr="00ED6A6B">
        <w:rPr>
          <w:rFonts w:ascii="Times New Roman" w:hAnsi="Times New Roman" w:cs="Times New Roman"/>
          <w:i/>
          <w:sz w:val="24"/>
          <w:szCs w:val="24"/>
          <w:lang w:val="sr-Cyrl-BA"/>
        </w:rPr>
        <w:t>i</w:t>
      </w:r>
      <w:r w:rsidR="00D74E7F" w:rsidRPr="00ED6A6B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6BD0E717" w14:textId="77777777" w:rsidR="00456CCC" w:rsidRPr="00ED6A6B" w:rsidRDefault="007E584F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x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H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i,j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)</m:t>
              </m:r>
            </m:e>
          </m:nary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,       i=1,2,…,N</m:t>
          </m:r>
        </m:oMath>
      </m:oMathPara>
    </w:p>
    <w:p w14:paraId="483E5FBB" w14:textId="14AE5450" w:rsidR="00456CCC" w:rsidRPr="00ED6A6B" w:rsidRDefault="004532A1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g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dje</w:t>
      </w:r>
      <w:proofErr w:type="spellEnd"/>
      <w:r w:rsidR="00716870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i,j</m:t>
            </m:r>
          </m:sub>
        </m:sSub>
      </m:oMath>
      <w:r w:rsidR="00456CC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udjel</w:t>
      </w:r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ponude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zemlje</w:t>
      </w:r>
      <w:proofErr w:type="spellEnd"/>
      <w:r w:rsidR="00456CC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456CCC"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>i</w:t>
      </w:r>
      <w:r w:rsidR="00456CC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zemlje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konkurenta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koja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ulazi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referentu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grupu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zemalja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prema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kojima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mjeri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vanjska</w:t>
      </w:r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vrijednost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KM)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tržištu</w:t>
      </w:r>
      <w:proofErr w:type="spellEnd"/>
      <w:r w:rsidR="00716870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456CCC"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>j</w:t>
      </w:r>
      <w:r w:rsidR="00456CC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računa</w:t>
      </w:r>
      <w:proofErr w:type="spellEnd"/>
      <w:r w:rsidR="00716870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:</w:t>
      </w:r>
    </w:p>
    <w:p w14:paraId="1BEB64E0" w14:textId="77777777" w:rsidR="00456CCC" w:rsidRPr="00ED6A6B" w:rsidRDefault="007E584F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i,j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i,j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a</m:t>
                  </m:r>
                </m:sup>
              </m:sSubSup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Cyrl-B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i,i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a</m:t>
                      </m:r>
                    </m:sup>
                  </m:sSubSup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,     i≠j, i=1,2,…,N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sr-Cyrl-BA"/>
            </w:rPr>
            <m:t>, j=1,2,…,H</m:t>
          </m:r>
        </m:oMath>
      </m:oMathPara>
    </w:p>
    <w:p w14:paraId="556A923C" w14:textId="6CA5AA63" w:rsidR="00EF38CD" w:rsidRPr="00EF38CD" w:rsidRDefault="004532A1" w:rsidP="00EF38C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g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dje</w:t>
      </w:r>
      <w:proofErr w:type="spellEnd"/>
      <m:oMath>
        <m:r>
          <w:rPr>
            <w:rFonts w:ascii="Cambria Math" w:hAnsi="Cambria Math" w:cs="Times New Roman"/>
            <w:sz w:val="24"/>
            <w:szCs w:val="24"/>
            <w:lang w:val="sr-Cyrl-BA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i,j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a</m:t>
            </m:r>
          </m:sup>
        </m:sSubSup>
      </m:oMath>
      <w:r w:rsidR="00456CC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označava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izvoz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zemlje</w:t>
      </w:r>
      <w:proofErr w:type="spellEnd"/>
      <w:r w:rsidR="00716870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56CCC" w:rsidRPr="00ED6A6B">
        <w:rPr>
          <w:rFonts w:ascii="Times New Roman" w:hAnsi="Times New Roman" w:cs="Times New Roman"/>
          <w:i/>
          <w:sz w:val="24"/>
          <w:szCs w:val="24"/>
          <w:lang w:val="sr-Cyrl-BA"/>
        </w:rPr>
        <w:t>i</w:t>
      </w:r>
      <w:r w:rsidR="00456CCC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na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tržište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56CCC" w:rsidRPr="00ED6A6B">
        <w:rPr>
          <w:rFonts w:ascii="Times New Roman" w:hAnsi="Times New Roman" w:cs="Times New Roman"/>
          <w:i/>
          <w:sz w:val="24"/>
          <w:szCs w:val="24"/>
          <w:lang w:val="sr-Cyrl-BA"/>
        </w:rPr>
        <w:t>j</w:t>
      </w:r>
      <w:r w:rsidR="00456CCC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F38CD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456CCC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i,i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a</m:t>
            </m:r>
          </m:sup>
        </m:sSubSup>
      </m:oMath>
      <w:r w:rsidR="00456CCC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predstavlja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bruto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domaću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proizvodnju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proizvoda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prerađivačke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industrije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zemlje</w:t>
      </w:r>
      <w:proofErr w:type="spellEnd"/>
      <w:r w:rsidR="00E964F9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964F9" w:rsidRPr="00ED6A6B">
        <w:rPr>
          <w:rFonts w:ascii="Times New Roman" w:hAnsi="Times New Roman" w:cs="Times New Roman"/>
          <w:i/>
          <w:sz w:val="24"/>
          <w:szCs w:val="24"/>
          <w:lang w:val="sr-Cyrl-BA"/>
        </w:rPr>
        <w:t>i</w:t>
      </w:r>
      <w:r w:rsidR="00E964F9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koja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proda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na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domaćem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tržištu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tih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zemalja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referentnom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razdoblju</w:t>
      </w:r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služi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kao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zamjenska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vrijednost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za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bruto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vrijednost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ponude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prerađivačkih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proizvoda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proizvedenih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na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domaćem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tržištu</w:t>
      </w:r>
      <w:proofErr w:type="spellEnd"/>
      <w:r w:rsidR="00EF38CD" w:rsidRPr="00EF38C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8FEDD46" w14:textId="4C2D0FB5" w:rsidR="00456CCC" w:rsidRPr="00ED6A6B" w:rsidRDefault="00EF38CD" w:rsidP="00EF38C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Onda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hAnsi="Times New Roman" w:cs="Times New Roman"/>
          <w:sz w:val="24"/>
          <w:szCs w:val="24"/>
          <w:lang w:val="hr-BA"/>
        </w:rPr>
        <w:t>udjel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prerađivačke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industrije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proizvedene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svakoj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od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tržišta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konkurenata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čine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referentnu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grupu</w:t>
      </w:r>
      <w:proofErr w:type="spellEnd"/>
      <w:r w:rsidR="00716870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sr-Cyrl-B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i,i</m:t>
            </m:r>
          </m:sub>
        </m:sSub>
      </m:oMath>
      <w:r w:rsidR="00813149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računa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kao</w:t>
      </w:r>
      <w:proofErr w:type="spellEnd"/>
      <w:r w:rsidR="00716870" w:rsidRPr="00ED6A6B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547B9F25" w14:textId="77777777" w:rsidR="00456CCC" w:rsidRPr="00ED6A6B" w:rsidRDefault="007E584F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i,i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i,i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a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i,i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a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Cyrl-B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i,i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a</m:t>
                      </m:r>
                    </m:sup>
                  </m:sSubSup>
                </m:e>
              </m:nary>
            </m:den>
          </m:f>
        </m:oMath>
      </m:oMathPara>
    </w:p>
    <w:p w14:paraId="25952AAE" w14:textId="24D43818" w:rsidR="00456CCC" w:rsidRPr="00ED6A6B" w:rsidRDefault="00EF38CD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gdje</w:t>
      </w:r>
      <w:r w:rsidR="00716870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i,i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a</m:t>
            </m:r>
          </m:sup>
        </m:sSubSup>
      </m:oMath>
      <w:r w:rsidR="00456CC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</w:t>
      </w:r>
      <w:proofErr w:type="spellEnd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zemlje</w:t>
      </w:r>
      <w:proofErr w:type="spellEnd"/>
      <w:r w:rsidR="00716870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456CCC"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>i</w:t>
      </w:r>
      <w:r w:rsidR="00456CC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tržišta</w:t>
      </w:r>
      <w:proofErr w:type="spellEnd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referentne</w:t>
      </w:r>
      <w:proofErr w:type="spellEnd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grupe</w:t>
      </w:r>
      <w:proofErr w:type="spellEnd"/>
      <w:r w:rsidR="0003749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456CC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N.</w:t>
      </w:r>
    </w:p>
    <w:p w14:paraId="66931FB0" w14:textId="6A62E4B8" w:rsidR="002A43B9" w:rsidRPr="00ED6A6B" w:rsidRDefault="00EF38CD" w:rsidP="00D74E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Uvozni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zemlje</w:t>
      </w:r>
      <w:proofErr w:type="spellEnd"/>
      <w:r w:rsidR="00716870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A43B9" w:rsidRPr="00ED6A6B">
        <w:rPr>
          <w:rFonts w:ascii="Times New Roman" w:hAnsi="Times New Roman" w:cs="Times New Roman"/>
          <w:i/>
          <w:sz w:val="24"/>
          <w:szCs w:val="24"/>
          <w:lang w:val="sr-Cyrl-BA"/>
        </w:rPr>
        <w:t>i</w:t>
      </w:r>
      <w:r w:rsidR="002A43B9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podliježe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prilagođavanjima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jednak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jednostavnom</w:t>
      </w:r>
      <w:proofErr w:type="spellEnd"/>
      <w:r w:rsidR="004532A1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hAnsi="Times New Roman" w:cs="Times New Roman"/>
          <w:sz w:val="24"/>
          <w:szCs w:val="24"/>
          <w:lang w:val="hr-BA"/>
        </w:rPr>
        <w:t>udjelu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zemlje</w:t>
      </w:r>
      <w:proofErr w:type="spellEnd"/>
      <w:r w:rsidR="00716870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A43B9" w:rsidRPr="00ED6A6B">
        <w:rPr>
          <w:rFonts w:ascii="Times New Roman" w:hAnsi="Times New Roman" w:cs="Times New Roman"/>
          <w:i/>
          <w:sz w:val="24"/>
          <w:szCs w:val="24"/>
          <w:lang w:val="sr-Cyrl-BA"/>
        </w:rPr>
        <w:t>i</w:t>
      </w:r>
      <w:r w:rsidR="002A43B9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u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ukupnom</w:t>
      </w:r>
      <w:proofErr w:type="spellEnd"/>
      <w:r w:rsidR="004532A1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uvozu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BiH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N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konkurentskih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hAnsi="Times New Roman" w:cs="Times New Roman"/>
          <w:sz w:val="24"/>
          <w:szCs w:val="24"/>
          <w:lang w:val="hr-BA"/>
        </w:rPr>
        <w:t>gospodarstava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koji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čine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referentnu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grupu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računa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hAnsi="Times New Roman" w:cs="Times New Roman"/>
          <w:sz w:val="24"/>
          <w:szCs w:val="24"/>
          <w:lang w:val="hr-BA"/>
        </w:rPr>
        <w:t xml:space="preserve">uz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pomoć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sljedeće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formule</w:t>
      </w:r>
      <w:proofErr w:type="spellEnd"/>
      <w:r w:rsidR="00D06AEE" w:rsidRPr="00ED6A6B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353391E8" w14:textId="77777777" w:rsidR="002A43B9" w:rsidRPr="00ED6A6B" w:rsidRDefault="007E584F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m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a</m:t>
                  </m:r>
                </m:sup>
              </m:sSubSup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Cyrl-B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a</m:t>
                      </m:r>
                    </m:sup>
                  </m:sSubSup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,       i=1,2,…,N</m:t>
          </m:r>
        </m:oMath>
      </m:oMathPara>
    </w:p>
    <w:p w14:paraId="16714B7F" w14:textId="7FDCCBD6" w:rsidR="002C5661" w:rsidRPr="00ED6A6B" w:rsidRDefault="00EF38CD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gdje</w:t>
      </w:r>
      <w:r w:rsidR="00D06AEE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B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a</m:t>
            </m:r>
          </m:sup>
        </m:sSup>
      </m:oMath>
      <w:r w:rsidR="002C566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</w:t>
      </w:r>
      <w:proofErr w:type="spellEnd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BiH</w:t>
      </w:r>
      <w:proofErr w:type="spellEnd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iz</w:t>
      </w:r>
      <w:proofErr w:type="spellEnd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zemlje</w:t>
      </w:r>
      <w:proofErr w:type="spellEnd"/>
      <w:r w:rsidR="002C566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C5661"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>i</w:t>
      </w:r>
      <w:r w:rsidR="002C566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 </w:t>
      </w:r>
      <w:proofErr w:type="spellStart"/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>referentnom</w:t>
      </w:r>
      <w:proofErr w:type="spellEnd"/>
      <w:r w:rsidR="004532A1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Pr="00EF38CD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razdoblju</w:t>
      </w:r>
      <w:r w:rsidR="00D06AE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136A154A" w14:textId="04132F6E" w:rsidR="002A43B9" w:rsidRPr="00ED6A6B" w:rsidRDefault="00EF38CD" w:rsidP="00D74E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Ukupni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trgovinski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pojedinačne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zemlje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partnera</w:t>
      </w:r>
      <w:proofErr w:type="spellEnd"/>
      <w:r w:rsidR="00D06AEE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A43B9" w:rsidRPr="00ED6A6B">
        <w:rPr>
          <w:rFonts w:ascii="Times New Roman" w:hAnsi="Times New Roman" w:cs="Times New Roman"/>
          <w:i/>
          <w:sz w:val="24"/>
          <w:szCs w:val="24"/>
          <w:lang w:val="sr-Cyrl-BA"/>
        </w:rPr>
        <w:t>i</w:t>
      </w:r>
      <w:r w:rsidR="002A43B9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dobija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se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kao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ponderi</w:t>
      </w:r>
      <w:proofErr w:type="spellEnd"/>
      <w:r w:rsidR="00283FDB">
        <w:rPr>
          <w:rFonts w:ascii="Times New Roman" w:hAnsi="Times New Roman" w:cs="Times New Roman"/>
          <w:sz w:val="24"/>
          <w:szCs w:val="24"/>
          <w:lang w:val="hr-BA"/>
        </w:rPr>
        <w:t>r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ani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prosjek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izvoznog</w:t>
      </w:r>
      <w:proofErr w:type="spellEnd"/>
      <w:r w:rsidR="004532A1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uvoznog</w:t>
      </w:r>
      <w:proofErr w:type="spellEnd"/>
      <w:r w:rsidR="004532A1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pondera</w:t>
      </w:r>
      <w:proofErr w:type="spellEnd"/>
      <w:r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F38CD">
        <w:rPr>
          <w:rFonts w:ascii="Times New Roman" w:hAnsi="Times New Roman" w:cs="Times New Roman"/>
          <w:sz w:val="24"/>
          <w:szCs w:val="24"/>
          <w:lang w:val="sr-Cyrl-BA"/>
        </w:rPr>
        <w:t>tj</w:t>
      </w:r>
      <w:proofErr w:type="spellEnd"/>
      <w:r w:rsidR="00D06AEE" w:rsidRPr="00ED6A6B">
        <w:rPr>
          <w:rFonts w:ascii="Times New Roman" w:hAnsi="Times New Roman" w:cs="Times New Roman"/>
          <w:sz w:val="24"/>
          <w:szCs w:val="24"/>
          <w:lang w:val="sr-Cyrl-BA"/>
        </w:rPr>
        <w:t>.:</w:t>
      </w:r>
    </w:p>
    <w:p w14:paraId="67BF7CAA" w14:textId="77777777" w:rsidR="002A43B9" w:rsidRPr="00ED6A6B" w:rsidRDefault="007E584F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Cyrl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a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Cyrl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a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Cyrl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a</m:t>
                      </m:r>
                    </m:sup>
                  </m:sSup>
                </m:den>
              </m:f>
            </m:e>
          </m:d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m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Cyrl-B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Cyrl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a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Cyrl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a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Cyrl-BA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Cyrl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Cyrl-BA"/>
                        </w:rPr>
                        <m:t>a</m:t>
                      </m:r>
                    </m:sup>
                  </m:sSup>
                </m:den>
              </m:f>
            </m:e>
          </m:d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Cyrl-BA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sr-Cyrl-BA"/>
                </w:rPr>
                <m:t>x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sr-Cyrl-BA"/>
            </w:rPr>
            <m:t>,      i=1,2,…,N</m:t>
          </m:r>
        </m:oMath>
      </m:oMathPara>
    </w:p>
    <w:p w14:paraId="381E7C38" w14:textId="324F6EF0" w:rsidR="00A97899" w:rsidRPr="00ED6A6B" w:rsidRDefault="00EF38CD" w:rsidP="002C566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gdje</w:t>
      </w:r>
      <w:r w:rsidR="00D06AEE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a</m:t>
            </m:r>
          </m:sup>
        </m:sSup>
      </m:oMath>
      <w:r w:rsidR="002C566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B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H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Cyrl-B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Cyrl-B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Cyrl-BA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Cyrl-BA"/>
                  </w:rPr>
                  <m:t>a</m:t>
                </m:r>
              </m:sup>
            </m:sSubSup>
          </m:e>
        </m:nary>
      </m:oMath>
      <w:r w:rsidR="002C566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označava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prema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C566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H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stranim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tržištima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 a</w:t>
      </w:r>
      <w:r w:rsidR="002C566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B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a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sr-Cyrl-BA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B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Cyrl-B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Cyrl-BA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Cyrl-BA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Cyrl-BA"/>
                  </w:rPr>
                  <m:t>a</m:t>
                </m:r>
              </m:sup>
            </m:sSubSup>
          </m:e>
        </m:nary>
      </m:oMath>
      <w:r w:rsidR="002C566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označava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</w:t>
      </w:r>
      <w:proofErr w:type="spellEnd"/>
      <w:r w:rsidR="00D06AE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N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konkurentskih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4532A1">
        <w:rPr>
          <w:rFonts w:ascii="Times New Roman" w:eastAsiaTheme="minorEastAsia" w:hAnsi="Times New Roman" w:cs="Times New Roman"/>
          <w:sz w:val="24"/>
          <w:szCs w:val="24"/>
          <w:lang w:val="hr-BA"/>
        </w:rPr>
        <w:t>gospodarstava</w:t>
      </w:r>
      <w:r w:rsidR="00D06AE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1B9C34B8" w14:textId="77777777" w:rsidR="0063022C" w:rsidRPr="00ED6A6B" w:rsidRDefault="0063022C" w:rsidP="002C566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2F7A933D" w14:textId="7F005AFE" w:rsidR="0062625C" w:rsidRPr="00A54163" w:rsidRDefault="00E968C0" w:rsidP="00F50602">
      <w:pPr>
        <w:pStyle w:val="Heading3"/>
        <w:rPr>
          <w:lang w:val="sr-Cyrl-BA"/>
        </w:rPr>
      </w:pPr>
      <w:proofErr w:type="spellStart"/>
      <w:r w:rsidRPr="00E968C0">
        <w:rPr>
          <w:lang w:val="sr-Cyrl-BA"/>
        </w:rPr>
        <w:t>Dvostruko</w:t>
      </w:r>
      <w:proofErr w:type="spellEnd"/>
      <w:r w:rsidRPr="00E968C0">
        <w:rPr>
          <w:lang w:val="sr-Cyrl-BA"/>
        </w:rPr>
        <w:t xml:space="preserve"> </w:t>
      </w:r>
      <w:proofErr w:type="spellStart"/>
      <w:r w:rsidRPr="00E968C0">
        <w:rPr>
          <w:lang w:val="sr-Cyrl-BA"/>
        </w:rPr>
        <w:t>ponderi</w:t>
      </w:r>
      <w:proofErr w:type="spellEnd"/>
      <w:r w:rsidR="00283FDB">
        <w:rPr>
          <w:lang w:val="hr-BA"/>
        </w:rPr>
        <w:t>r</w:t>
      </w:r>
      <w:proofErr w:type="spellStart"/>
      <w:r w:rsidRPr="00E968C0">
        <w:rPr>
          <w:lang w:val="sr-Cyrl-BA"/>
        </w:rPr>
        <w:t>ani</w:t>
      </w:r>
      <w:proofErr w:type="spellEnd"/>
      <w:r w:rsidRPr="00E968C0">
        <w:rPr>
          <w:lang w:val="sr-Cyrl-BA"/>
        </w:rPr>
        <w:t xml:space="preserve"> </w:t>
      </w:r>
      <w:proofErr w:type="spellStart"/>
      <w:r w:rsidRPr="00E968C0">
        <w:rPr>
          <w:lang w:val="sr-Cyrl-BA"/>
        </w:rPr>
        <w:t>izvozni</w:t>
      </w:r>
      <w:proofErr w:type="spellEnd"/>
      <w:r w:rsidRPr="00E968C0">
        <w:rPr>
          <w:lang w:val="sr-Cyrl-BA"/>
        </w:rPr>
        <w:t xml:space="preserve"> </w:t>
      </w:r>
      <w:proofErr w:type="spellStart"/>
      <w:r w:rsidRPr="00E968C0">
        <w:rPr>
          <w:lang w:val="sr-Cyrl-BA"/>
        </w:rPr>
        <w:t>ponder</w:t>
      </w:r>
      <w:proofErr w:type="spellEnd"/>
      <w:r w:rsidRPr="00E968C0">
        <w:rPr>
          <w:lang w:val="sr-Cyrl-BA"/>
        </w:rPr>
        <w:t xml:space="preserve"> u </w:t>
      </w:r>
      <w:proofErr w:type="spellStart"/>
      <w:r w:rsidRPr="00E968C0">
        <w:rPr>
          <w:lang w:val="sr-Cyrl-BA"/>
        </w:rPr>
        <w:t>praksi</w:t>
      </w:r>
      <w:proofErr w:type="spellEnd"/>
    </w:p>
    <w:p w14:paraId="3EE26091" w14:textId="77777777" w:rsidR="0063022C" w:rsidRPr="00A54163" w:rsidRDefault="0063022C" w:rsidP="0063022C">
      <w:pPr>
        <w:rPr>
          <w:lang w:val="sr-Cyrl-BA"/>
        </w:rPr>
      </w:pPr>
    </w:p>
    <w:p w14:paraId="0C6F4F0C" w14:textId="1807C19E" w:rsidR="00D06AEE" w:rsidRPr="00ED6A6B" w:rsidRDefault="00E968C0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proizvodnja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prerađivačkog</w:t>
      </w:r>
      <w:proofErr w:type="spellEnd"/>
      <w:r w:rsidR="00243FB3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sektora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doda</w:t>
      </w:r>
      <w:proofErr w:type="spellEnd"/>
      <w:r w:rsidR="00243FB3">
        <w:rPr>
          <w:rFonts w:ascii="Times New Roman" w:eastAsiaTheme="minorEastAsia" w:hAnsi="Times New Roman" w:cs="Times New Roman"/>
          <w:sz w:val="24"/>
          <w:szCs w:val="24"/>
          <w:lang w:val="hr-BA"/>
        </w:rPr>
        <w:t>n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vrijednost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prerađivačke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industrije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uvećanu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umanjenu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njihov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Cilj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datog</w:t>
      </w:r>
      <w:proofErr w:type="spellEnd"/>
      <w:r w:rsidR="00243FB3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prilagođenja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dobiti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ukupnu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količinu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nudi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domaćem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3EB9C1B9" w14:textId="1CBE3EB8" w:rsidR="00E968C0" w:rsidRPr="00E968C0" w:rsidRDefault="00E968C0" w:rsidP="00E968C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tabeli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1,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dio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1.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nalaze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jednostavni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odražavaju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43FB3">
        <w:rPr>
          <w:rFonts w:ascii="Times New Roman" w:eastAsiaTheme="minorEastAsia" w:hAnsi="Times New Roman" w:cs="Times New Roman"/>
          <w:sz w:val="24"/>
          <w:szCs w:val="24"/>
          <w:lang w:val="hr-BA"/>
        </w:rPr>
        <w:t>udjel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(5-8 SMTK) u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svaku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od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24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partnera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kao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prema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svim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ostalim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zemljama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243FB3">
        <w:rPr>
          <w:rFonts w:ascii="Times New Roman" w:eastAsiaTheme="minorEastAsia" w:hAnsi="Times New Roman" w:cs="Times New Roman"/>
          <w:sz w:val="24"/>
          <w:szCs w:val="24"/>
          <w:lang w:val="hr-BA"/>
        </w:rPr>
        <w:t>razvr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stane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oznakom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43FB3" w:rsidRPr="00EF38CD">
        <w:rPr>
          <w:rFonts w:ascii="Times New Roman" w:hAnsi="Times New Roman" w:cs="Times New Roman"/>
          <w:sz w:val="24"/>
          <w:szCs w:val="24"/>
          <w:lang w:val="sr-Cyrl-BA"/>
        </w:rPr>
        <w:t>"</w:t>
      </w:r>
      <w:proofErr w:type="spellStart"/>
      <w:r w:rsidR="00243FB3" w:rsidRPr="00EF38CD">
        <w:rPr>
          <w:rFonts w:ascii="Times New Roman" w:hAnsi="Times New Roman" w:cs="Times New Roman"/>
          <w:sz w:val="24"/>
          <w:szCs w:val="24"/>
          <w:lang w:val="sr-Cyrl-BA"/>
        </w:rPr>
        <w:t>ostatak</w:t>
      </w:r>
      <w:proofErr w:type="spellEnd"/>
      <w:r w:rsidR="00243FB3" w:rsidRPr="00EF38C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243FB3" w:rsidRPr="00EF38CD">
        <w:rPr>
          <w:rFonts w:ascii="Times New Roman" w:hAnsi="Times New Roman" w:cs="Times New Roman"/>
          <w:sz w:val="24"/>
          <w:szCs w:val="24"/>
          <w:lang w:val="sr-Cyrl-BA"/>
        </w:rPr>
        <w:t>svijeta</w:t>
      </w:r>
      <w:proofErr w:type="spellEnd"/>
      <w:r w:rsidR="00243FB3" w:rsidRPr="00EF38CD">
        <w:rPr>
          <w:rFonts w:ascii="Times New Roman" w:hAnsi="Times New Roman" w:cs="Times New Roman"/>
          <w:sz w:val="24"/>
          <w:szCs w:val="24"/>
          <w:lang w:val="sr-Cyrl-BA"/>
        </w:rPr>
        <w:t>"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primjer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 6,</w:t>
      </w:r>
      <w:r w:rsidR="00D02641">
        <w:rPr>
          <w:rFonts w:ascii="Times New Roman" w:eastAsiaTheme="minorEastAsia" w:hAnsi="Times New Roman" w:cs="Times New Roman"/>
          <w:sz w:val="24"/>
          <w:szCs w:val="24"/>
          <w:lang w:val="sr-Latn-BA"/>
        </w:rPr>
        <w:t>85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%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ukupnog</w:t>
      </w:r>
      <w:proofErr w:type="spellEnd"/>
      <w:r w:rsidR="00243FB3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odnosi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283FDB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="00283FDB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Austriju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r w:rsidR="00D02641">
        <w:rPr>
          <w:rFonts w:ascii="Times New Roman" w:eastAsiaTheme="minorEastAsia" w:hAnsi="Times New Roman" w:cs="Times New Roman"/>
          <w:sz w:val="24"/>
          <w:szCs w:val="24"/>
          <w:lang w:val="sr-Latn-BA"/>
        </w:rPr>
        <w:t>11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</w:t>
      </w:r>
      <w:r w:rsidR="00D02641">
        <w:rPr>
          <w:rFonts w:ascii="Times New Roman" w:eastAsiaTheme="minorEastAsia" w:hAnsi="Times New Roman" w:cs="Times New Roman"/>
          <w:sz w:val="24"/>
          <w:szCs w:val="24"/>
          <w:lang w:val="sr-Latn-BA"/>
        </w:rPr>
        <w:t>5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%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Hrvatsku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 1</w:t>
      </w:r>
      <w:r w:rsidR="00D02641">
        <w:rPr>
          <w:rFonts w:ascii="Times New Roman" w:eastAsiaTheme="minorEastAsia" w:hAnsi="Times New Roman" w:cs="Times New Roman"/>
          <w:sz w:val="24"/>
          <w:szCs w:val="24"/>
          <w:lang w:val="sr-Latn-BA"/>
        </w:rPr>
        <w:t>3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</w:t>
      </w:r>
      <w:r w:rsidR="00D02641">
        <w:rPr>
          <w:rFonts w:ascii="Times New Roman" w:eastAsiaTheme="minorEastAsia" w:hAnsi="Times New Roman" w:cs="Times New Roman"/>
          <w:sz w:val="24"/>
          <w:szCs w:val="24"/>
          <w:lang w:val="sr-Latn-BA"/>
        </w:rPr>
        <w:t>26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%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Njemačku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itd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</w:p>
    <w:p w14:paraId="7B44A7E8" w14:textId="5A07533B" w:rsidR="00D06AEE" w:rsidRPr="00ED6A6B" w:rsidRDefault="00E968C0" w:rsidP="00E968C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Dio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2.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strukturnu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matricu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ponude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zemalja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partnera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gdje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zbr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oj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p</w:t>
      </w:r>
      <w:proofErr w:type="spellStart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ostotak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a u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kolonama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mora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iznositi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100%.</w:t>
      </w:r>
    </w:p>
    <w:p w14:paraId="13EA6931" w14:textId="7BE1C04E" w:rsidR="006C0464" w:rsidRPr="00ED6A6B" w:rsidRDefault="007E584F" w:rsidP="00D06AEE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i,j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BA"/>
          </w:rPr>
          <m:t xml:space="preserve">  </m:t>
        </m:r>
      </m:oMath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Svaki element u ovom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dijelu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–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isključujući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one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glavnoj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dijagonali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–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označava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</w:t>
      </w:r>
      <w:proofErr w:type="spellStart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ostotak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prerađivačke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industrije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proizvedenih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nekoj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konkurenta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6C046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N 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(u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redovima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) i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izvezenih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jedno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od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stranih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tržišta</w:t>
      </w:r>
      <w:proofErr w:type="spellEnd"/>
      <w:r w:rsidR="006C046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H 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(u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kolonama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).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primjer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u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prvoj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koloni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možemo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primijetiti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283FDB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="00283FDB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1,</w:t>
      </w:r>
      <w:r w:rsidR="00255A39">
        <w:rPr>
          <w:rFonts w:ascii="Times New Roman" w:eastAsiaTheme="minorEastAsia" w:hAnsi="Times New Roman" w:cs="Times New Roman"/>
          <w:sz w:val="24"/>
          <w:szCs w:val="24"/>
          <w:lang w:val="sr-Latn-BA"/>
        </w:rPr>
        <w:t>9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3%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odnosi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Kine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 2</w:t>
      </w:r>
      <w:r w:rsidR="00255A39">
        <w:rPr>
          <w:rFonts w:ascii="Times New Roman" w:eastAsiaTheme="minorEastAsia" w:hAnsi="Times New Roman" w:cs="Times New Roman"/>
          <w:sz w:val="24"/>
          <w:szCs w:val="24"/>
          <w:lang w:val="sr-Latn-BA"/>
        </w:rPr>
        <w:t>8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</w:t>
      </w:r>
      <w:r w:rsidR="00255A39">
        <w:rPr>
          <w:rFonts w:ascii="Times New Roman" w:eastAsiaTheme="minorEastAsia" w:hAnsi="Times New Roman" w:cs="Times New Roman"/>
          <w:sz w:val="24"/>
          <w:szCs w:val="24"/>
          <w:lang w:val="sr-Latn-BA"/>
        </w:rPr>
        <w:t>07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%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Njemačke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itd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1620AE94" w14:textId="6CCA4972" w:rsidR="00E968C0" w:rsidRDefault="007E584F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i,i</m:t>
            </m:r>
          </m:sub>
        </m:sSub>
      </m:oMath>
      <w:r w:rsidR="006C046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Elementi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glavnoj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dijagonali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strukturne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matrice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ponude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označavaju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</w:t>
      </w:r>
      <w:proofErr w:type="spellStart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ostotak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prerađivačke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industrije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proizvedenih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svakoj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od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zemalja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konkurenata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čine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referentnu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grupu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a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namijenjenih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domaćem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tržištu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zemalja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primjer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u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Austriji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283FDB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="00283FDB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55A39">
        <w:rPr>
          <w:rFonts w:ascii="Times New Roman" w:eastAsiaTheme="minorEastAsia" w:hAnsi="Times New Roman" w:cs="Times New Roman"/>
          <w:sz w:val="24"/>
          <w:szCs w:val="24"/>
          <w:lang w:val="sr-Latn-BA"/>
        </w:rPr>
        <w:t>38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,4</w:t>
      </w:r>
      <w:r w:rsidR="00255A39">
        <w:rPr>
          <w:rFonts w:ascii="Times New Roman" w:eastAsiaTheme="minorEastAsia" w:hAnsi="Times New Roman" w:cs="Times New Roman"/>
          <w:sz w:val="24"/>
          <w:szCs w:val="24"/>
          <w:lang w:val="sr-Latn-BA"/>
        </w:rPr>
        <w:t>9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%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ukupne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lastRenderedPageBreak/>
        <w:t>ponude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prerađivačkih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proizvodnje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prva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kolona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), u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Kini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55A39">
        <w:rPr>
          <w:rFonts w:ascii="Times New Roman" w:eastAsiaTheme="minorEastAsia" w:hAnsi="Times New Roman" w:cs="Times New Roman"/>
          <w:sz w:val="24"/>
          <w:szCs w:val="24"/>
          <w:lang w:val="sr-Latn-BA"/>
        </w:rPr>
        <w:t>93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</w:t>
      </w:r>
      <w:r w:rsidR="00255A39">
        <w:rPr>
          <w:rFonts w:ascii="Times New Roman" w:eastAsiaTheme="minorEastAsia" w:hAnsi="Times New Roman" w:cs="Times New Roman"/>
          <w:sz w:val="24"/>
          <w:szCs w:val="24"/>
          <w:lang w:val="sr-Latn-BA"/>
        </w:rPr>
        <w:t>88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% (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treća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kolona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),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itd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77A0C249" w14:textId="21E63F64" w:rsidR="00E67B13" w:rsidRPr="00ED6A6B" w:rsidRDefault="00E968C0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Dio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3.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dvostruko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="00283FDB">
        <w:rPr>
          <w:rFonts w:ascii="Times New Roman" w:eastAsiaTheme="minorEastAsia" w:hAnsi="Times New Roman" w:cs="Times New Roman"/>
          <w:sz w:val="24"/>
          <w:szCs w:val="24"/>
          <w:lang w:val="hr-BA"/>
        </w:rPr>
        <w:t>r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čijem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CBBiH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formulu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predstavljenu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prethodnom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poglavlju</w:t>
      </w:r>
      <w:proofErr w:type="spellEnd"/>
      <w:r w:rsidR="00D06AE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x</m:t>
            </m:r>
          </m:sup>
        </m:sSubSup>
      </m:oMath>
      <w:r w:rsidR="00E67B13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gdje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svaki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red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dijelu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2.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u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mn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ž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redom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dijelu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1.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temelju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možemo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konstat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ir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ati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kako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dvostruko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="00283FDB">
        <w:rPr>
          <w:rFonts w:ascii="Times New Roman" w:eastAsiaTheme="minorEastAsia" w:hAnsi="Times New Roman" w:cs="Times New Roman"/>
          <w:sz w:val="24"/>
          <w:szCs w:val="24"/>
          <w:lang w:val="hr-BA"/>
        </w:rPr>
        <w:t>r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Austriju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5,</w:t>
      </w:r>
      <w:r w:rsidR="00255A39">
        <w:rPr>
          <w:rFonts w:ascii="Times New Roman" w:eastAsiaTheme="minorEastAsia" w:hAnsi="Times New Roman" w:cs="Times New Roman"/>
          <w:sz w:val="24"/>
          <w:szCs w:val="24"/>
          <w:lang w:val="sr-Latn-BA"/>
        </w:rPr>
        <w:t>2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4%.</w:t>
      </w:r>
      <w:r w:rsidR="00B8463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 </w:t>
      </w:r>
    </w:p>
    <w:p w14:paraId="6D4A61E1" w14:textId="3B9ED733" w:rsidR="00E67B13" w:rsidRPr="00ED6A6B" w:rsidRDefault="00E968C0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Dio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4.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ut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je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caj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strane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konkurencije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domaćem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stoga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skup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bilateralnih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uvoznih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pondera</w:t>
      </w:r>
      <w:proofErr w:type="spellEnd"/>
      <w:r w:rsidR="00D06AE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(w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m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sr-Cyrl-BA"/>
          </w:rPr>
          <m:t>)</m:t>
        </m:r>
      </m:oMath>
      <w:r w:rsidR="007C0E2B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jednak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jednostavnom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udjelu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E67B13"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>i</w:t>
      </w:r>
      <w:r w:rsidR="00E67B13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ukupnom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</w:t>
      </w:r>
      <w:proofErr w:type="spellEnd"/>
      <w:r w:rsidR="00D06AE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E67B13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N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konkurentn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og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gospodarstva</w:t>
      </w:r>
      <w:r w:rsidR="00D06AE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5999DC37" w14:textId="114D2AD0" w:rsidR="00E67B13" w:rsidRPr="00ED6A6B" w:rsidRDefault="00E968C0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Dio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5.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ukupne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njihov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dvostruko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="00283FDB">
        <w:rPr>
          <w:rFonts w:ascii="Times New Roman" w:eastAsiaTheme="minorEastAsia" w:hAnsi="Times New Roman" w:cs="Times New Roman"/>
          <w:sz w:val="24"/>
          <w:szCs w:val="24"/>
          <w:lang w:val="hr-BA"/>
        </w:rPr>
        <w:t>r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</w:t>
      </w:r>
      <w:proofErr w:type="spellEnd"/>
      <w:r w:rsidR="00D06AE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(w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x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sr-Cyrl-BA"/>
          </w:rPr>
          <m:t xml:space="preserve">) </m:t>
        </m:r>
      </m:oMath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i bilateralni uvozni ponder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(w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m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sr-Cyrl-BA"/>
          </w:rPr>
          <m:t xml:space="preserve">) </m:t>
        </m:r>
      </m:oMath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moraju zajedno ponderi</w:t>
      </w:r>
      <w:r w:rsidR="00283FDB">
        <w:rPr>
          <w:rFonts w:ascii="Times New Roman" w:eastAsiaTheme="minorEastAsia" w:hAnsi="Times New Roman" w:cs="Times New Roman"/>
          <w:sz w:val="24"/>
          <w:szCs w:val="24"/>
          <w:lang w:val="hr-BA"/>
        </w:rPr>
        <w:t>r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ati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primjer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koristeći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gore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navedene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matematičke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formule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ukupni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Austriju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A3538">
        <w:rPr>
          <w:rFonts w:ascii="Times New Roman" w:eastAsiaTheme="minorEastAsia" w:hAnsi="Times New Roman" w:cs="Times New Roman"/>
          <w:sz w:val="24"/>
          <w:szCs w:val="24"/>
          <w:lang w:val="sr-Latn-BA"/>
        </w:rPr>
        <w:t>9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</w:t>
      </w:r>
      <w:r w:rsidR="002A3538">
        <w:rPr>
          <w:rFonts w:ascii="Times New Roman" w:eastAsiaTheme="minorEastAsia" w:hAnsi="Times New Roman" w:cs="Times New Roman"/>
          <w:sz w:val="24"/>
          <w:szCs w:val="24"/>
          <w:lang w:val="sr-Latn-BA"/>
        </w:rPr>
        <w:t>0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8%,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Hrvatsku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A3538">
        <w:rPr>
          <w:rFonts w:ascii="Times New Roman" w:eastAsiaTheme="minorEastAsia" w:hAnsi="Times New Roman" w:cs="Times New Roman"/>
          <w:sz w:val="24"/>
          <w:szCs w:val="24"/>
          <w:lang w:val="sr-Latn-BA"/>
        </w:rPr>
        <w:t>6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,</w:t>
      </w:r>
      <w:r w:rsidR="002A3538">
        <w:rPr>
          <w:rFonts w:ascii="Times New Roman" w:eastAsiaTheme="minorEastAsia" w:hAnsi="Times New Roman" w:cs="Times New Roman"/>
          <w:sz w:val="24"/>
          <w:szCs w:val="24"/>
          <w:lang w:val="sr-Latn-BA"/>
        </w:rPr>
        <w:t>48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%,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itd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  <w:r w:rsidR="00CE356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</w:p>
    <w:p w14:paraId="7EA1FDF9" w14:textId="77777777" w:rsidR="0047618B" w:rsidRPr="00ED6A6B" w:rsidRDefault="0047618B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27992B0D" w14:textId="77777777" w:rsidR="00E67B13" w:rsidRPr="00ED6A6B" w:rsidRDefault="00E67B13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3A155349" w14:textId="77777777" w:rsidR="006C0464" w:rsidRPr="00ED6A6B" w:rsidRDefault="006C0464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5F28EEE2" w14:textId="77777777" w:rsidR="004A5DD9" w:rsidRPr="00ED6A6B" w:rsidRDefault="004A5DD9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40614C5D" w14:textId="77777777" w:rsidR="004A5DD9" w:rsidRPr="00ED6A6B" w:rsidRDefault="004A5DD9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6FBB53B7" w14:textId="77777777" w:rsidR="004A5DD9" w:rsidRPr="00ED6A6B" w:rsidRDefault="004A5DD9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00877BB6" w14:textId="77777777" w:rsidR="004A5DD9" w:rsidRPr="00ED6A6B" w:rsidRDefault="004A5DD9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68A19BB4" w14:textId="77777777" w:rsidR="004A5DD9" w:rsidRPr="00ED6A6B" w:rsidRDefault="004A5DD9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1ADF3723" w14:textId="77777777" w:rsidR="004A5DD9" w:rsidRPr="00ED6A6B" w:rsidRDefault="004A5DD9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00530A7E" w14:textId="77777777" w:rsidR="004A5DD9" w:rsidRPr="00ED6A6B" w:rsidRDefault="004A5DD9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0CC62FE9" w14:textId="77777777" w:rsidR="004A5DD9" w:rsidRPr="00ED6A6B" w:rsidRDefault="004A5DD9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  <w:sectPr w:rsidR="004A5DD9" w:rsidRPr="00ED6A6B" w:rsidSect="00BE23D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28B099" w14:textId="65C5ED50" w:rsidR="00073CBC" w:rsidRDefault="00E968C0" w:rsidP="00073CBC">
      <w:pPr>
        <w:pStyle w:val="Caption"/>
        <w:rPr>
          <w:lang w:val="sr-Cyrl-BA"/>
        </w:rPr>
      </w:pPr>
      <w:proofErr w:type="spellStart"/>
      <w:r w:rsidRPr="00E968C0">
        <w:rPr>
          <w:lang w:val="sr-Cyrl-BA"/>
        </w:rPr>
        <w:lastRenderedPageBreak/>
        <w:t>Tabela</w:t>
      </w:r>
      <w:proofErr w:type="spellEnd"/>
      <w:r w:rsidRPr="00E968C0">
        <w:rPr>
          <w:lang w:val="sr-Cyrl-BA"/>
        </w:rPr>
        <w:t xml:space="preserve"> 1. </w:t>
      </w:r>
      <w:proofErr w:type="spellStart"/>
      <w:r w:rsidRPr="00E968C0">
        <w:rPr>
          <w:lang w:val="sr-Cyrl-BA"/>
        </w:rPr>
        <w:t>Izračun</w:t>
      </w:r>
      <w:proofErr w:type="spellEnd"/>
      <w:r w:rsidRPr="00E968C0">
        <w:rPr>
          <w:lang w:val="sr-Cyrl-BA"/>
        </w:rPr>
        <w:t xml:space="preserve"> </w:t>
      </w:r>
      <w:proofErr w:type="spellStart"/>
      <w:r w:rsidRPr="00E968C0">
        <w:rPr>
          <w:lang w:val="sr-Cyrl-BA"/>
        </w:rPr>
        <w:t>pondera</w:t>
      </w:r>
      <w:proofErr w:type="spellEnd"/>
      <w:r w:rsidRPr="00E968C0">
        <w:rPr>
          <w:lang w:val="sr-Cyrl-BA"/>
        </w:rPr>
        <w:t xml:space="preserve"> u %</w:t>
      </w:r>
    </w:p>
    <w:p w14:paraId="76032066" w14:textId="752E02DB" w:rsidR="006864FA" w:rsidRDefault="006864FA" w:rsidP="006864FA">
      <w:pPr>
        <w:rPr>
          <w:lang w:val="sr-Cyrl-BA"/>
        </w:rPr>
      </w:pPr>
    </w:p>
    <w:p w14:paraId="013081E0" w14:textId="7550586E" w:rsidR="005E53BA" w:rsidRPr="006864FA" w:rsidRDefault="005E53BA" w:rsidP="006864FA">
      <w:pPr>
        <w:rPr>
          <w:lang w:val="sr-Cyrl-BA"/>
        </w:rPr>
      </w:pPr>
      <w:r w:rsidRPr="005E53BA">
        <w:rPr>
          <w:noProof/>
        </w:rPr>
        <w:drawing>
          <wp:inline distT="0" distB="0" distL="0" distR="0" wp14:anchorId="28E1DC03" wp14:editId="7F1D5498">
            <wp:extent cx="8891270" cy="43776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B336" w14:textId="75EB8681" w:rsidR="00632C6C" w:rsidRPr="00ED6A6B" w:rsidRDefault="00632C6C" w:rsidP="00632C6C">
      <w:pPr>
        <w:rPr>
          <w:lang w:val="sr-Cyrl-BA"/>
        </w:rPr>
      </w:pPr>
    </w:p>
    <w:p w14:paraId="39E7272D" w14:textId="77777777" w:rsidR="004A5DD9" w:rsidRPr="00ED6A6B" w:rsidRDefault="004A5DD9" w:rsidP="00D74E7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73D6B1A7" w14:textId="77777777" w:rsidR="00054C75" w:rsidRPr="00ED6A6B" w:rsidRDefault="00054C75" w:rsidP="00073CBC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  <w:sectPr w:rsidR="00054C75" w:rsidRPr="00ED6A6B" w:rsidSect="004A5DD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9EB93E" w14:textId="77777777" w:rsidR="005A74E8" w:rsidRPr="00C216F6" w:rsidRDefault="005A74E8" w:rsidP="00F50602">
      <w:pPr>
        <w:pStyle w:val="Heading3"/>
        <w:rPr>
          <w:lang w:val="sr-Cyrl-BA"/>
        </w:rPr>
      </w:pPr>
    </w:p>
    <w:p w14:paraId="0E6A3860" w14:textId="306ECB3B" w:rsidR="00073CBC" w:rsidRPr="00C216F6" w:rsidRDefault="00961B97" w:rsidP="00F50602">
      <w:pPr>
        <w:pStyle w:val="Heading3"/>
        <w:rPr>
          <w:lang w:val="sr-Cyrl-BA"/>
        </w:rPr>
      </w:pPr>
      <w:proofErr w:type="spellStart"/>
      <w:r>
        <w:t>Izbor</w:t>
      </w:r>
      <w:proofErr w:type="spellEnd"/>
      <w:r w:rsidR="00E968C0" w:rsidRPr="00C216F6">
        <w:rPr>
          <w:lang w:val="sr-Cyrl-BA"/>
        </w:rPr>
        <w:t xml:space="preserve"> </w:t>
      </w:r>
      <w:r w:rsidR="00E968C0" w:rsidRPr="00E968C0">
        <w:t>valuta</w:t>
      </w:r>
    </w:p>
    <w:p w14:paraId="283D2581" w14:textId="17355698" w:rsidR="003D79E6" w:rsidRPr="00ED6A6B" w:rsidRDefault="003D79E6" w:rsidP="003D79E6">
      <w:pPr>
        <w:rPr>
          <w:lang w:val="sr-Cyrl-BA"/>
        </w:rPr>
      </w:pPr>
    </w:p>
    <w:p w14:paraId="7447BB3D" w14:textId="77777777" w:rsidR="005A74E8" w:rsidRPr="00ED6A6B" w:rsidRDefault="005A74E8" w:rsidP="003D79E6">
      <w:pPr>
        <w:rPr>
          <w:lang w:val="sr-Cyrl-BA"/>
        </w:rPr>
      </w:pPr>
    </w:p>
    <w:p w14:paraId="1E1C9DE6" w14:textId="22F511DF" w:rsidR="00E968C0" w:rsidRPr="00E968C0" w:rsidRDefault="00E968C0" w:rsidP="00E968C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Izbor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valute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temelji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se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izboru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partnera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čemu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e</w:t>
      </w:r>
      <w:r w:rsidR="00283FDB">
        <w:rPr>
          <w:rFonts w:ascii="Times New Roman" w:eastAsiaTheme="minorEastAsia" w:hAnsi="Times New Roman" w:cs="Times New Roman"/>
          <w:sz w:val="24"/>
          <w:szCs w:val="24"/>
          <w:lang w:val="hr-BA"/>
        </w:rPr>
        <w:t>u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članice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zone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e</w:t>
      </w:r>
      <w:r w:rsidR="00283FDB">
        <w:rPr>
          <w:rFonts w:ascii="Times New Roman" w:eastAsiaTheme="minorEastAsia" w:hAnsi="Times New Roman" w:cs="Times New Roman"/>
          <w:sz w:val="24"/>
          <w:szCs w:val="24"/>
          <w:lang w:val="hr-BA"/>
        </w:rPr>
        <w:t>u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Crnu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Goru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kompil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iranje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nominalnog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realnog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efektivnog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bilateralni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valute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prema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valutama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relevantnih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partnera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čemu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2015.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godina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bazni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period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tj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. 2015=100).</w:t>
      </w:r>
    </w:p>
    <w:p w14:paraId="4AE23A6F" w14:textId="58E2F16F" w:rsidR="00E968C0" w:rsidRPr="00E968C0" w:rsidRDefault="00E968C0" w:rsidP="00E968C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smislu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tumačenja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povećanje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aprecijaciju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dok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smanjenje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znači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deprecijaciju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Dakle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svi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bilateralni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tečajevi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izraženi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283FDB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="00283FDB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kao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vrijednost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valute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jedinici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strane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valute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primjer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1 KM=0.511 EUR).</w:t>
      </w:r>
    </w:p>
    <w:p w14:paraId="0A2D1C8B" w14:textId="36B4790B" w:rsidR="00073CBC" w:rsidRPr="00ED6A6B" w:rsidRDefault="00E968C0" w:rsidP="00E968C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CBBiH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izvor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mjesečnih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bilateralnih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tečajeva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gdje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mjesečni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objedinjeni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uz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pomoć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geometrijskog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prosjeka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dnevnih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tečajeva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2F0E6783" w14:textId="77777777" w:rsidR="003D79E6" w:rsidRPr="00ED6A6B" w:rsidRDefault="003D79E6" w:rsidP="00073CB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7FACC068" w14:textId="12512AB3" w:rsidR="001434EE" w:rsidRPr="00A54163" w:rsidRDefault="00E968C0" w:rsidP="00F50602">
      <w:pPr>
        <w:pStyle w:val="Heading3"/>
        <w:rPr>
          <w:lang w:val="sr-Cyrl-BA"/>
        </w:rPr>
      </w:pPr>
      <w:proofErr w:type="spellStart"/>
      <w:r w:rsidRPr="00E968C0">
        <w:rPr>
          <w:lang w:val="sr-Cyrl-BA"/>
        </w:rPr>
        <w:t>Tumačenje</w:t>
      </w:r>
      <w:proofErr w:type="spellEnd"/>
      <w:r w:rsidRPr="00E968C0">
        <w:rPr>
          <w:lang w:val="sr-Cyrl-BA"/>
        </w:rPr>
        <w:t xml:space="preserve"> </w:t>
      </w:r>
      <w:proofErr w:type="spellStart"/>
      <w:r w:rsidRPr="00E968C0">
        <w:rPr>
          <w:lang w:val="sr-Cyrl-BA"/>
        </w:rPr>
        <w:t>indeksa</w:t>
      </w:r>
      <w:proofErr w:type="spellEnd"/>
    </w:p>
    <w:p w14:paraId="58F4AF92" w14:textId="77777777" w:rsidR="003D79E6" w:rsidRPr="00ED6A6B" w:rsidRDefault="003D79E6" w:rsidP="003D79E6">
      <w:pPr>
        <w:rPr>
          <w:lang w:val="sr-Cyrl-BA"/>
        </w:rPr>
      </w:pPr>
    </w:p>
    <w:p w14:paraId="215E53AA" w14:textId="1053B646" w:rsidR="002B4405" w:rsidRPr="00ED6A6B" w:rsidRDefault="00E968C0" w:rsidP="002B4405">
      <w:pPr>
        <w:spacing w:after="200" w:line="276" w:lineRule="auto"/>
        <w:jc w:val="both"/>
        <w:rPr>
          <w:rFonts w:ascii="Times New Roman" w:hAnsi="Times New Roman" w:cs="Times New Roman"/>
          <w:sz w:val="24"/>
          <w:lang w:val="sr-Cyrl-BA"/>
        </w:rPr>
      </w:pP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Povećanje</w:t>
      </w:r>
      <w:proofErr w:type="spellEnd"/>
      <w:r w:rsidR="00D201E0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B4405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NEER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je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odraz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aprecijacije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domaće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valute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(KM) u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odnosu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ponderi</w:t>
      </w:r>
      <w:proofErr w:type="spellEnd"/>
      <w:r w:rsidR="00283FDB">
        <w:rPr>
          <w:rFonts w:ascii="Times New Roman" w:hAnsi="Times New Roman" w:cs="Times New Roman"/>
          <w:sz w:val="24"/>
          <w:szCs w:val="24"/>
          <w:lang w:val="hr-BA"/>
        </w:rPr>
        <w:t>r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anu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ko</w:t>
      </w:r>
      <w:r w:rsidR="00961B97">
        <w:rPr>
          <w:rFonts w:ascii="Times New Roman" w:hAnsi="Times New Roman" w:cs="Times New Roman"/>
          <w:sz w:val="24"/>
          <w:szCs w:val="24"/>
          <w:lang w:val="hr-BA"/>
        </w:rPr>
        <w:t>šaricu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valuta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najznačajnijih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trgovinskih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partnera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dok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je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smanjivanje</w:t>
      </w:r>
      <w:proofErr w:type="spellEnd"/>
      <w:r w:rsidR="00D201E0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B4405" w:rsidRPr="00ED6A6B">
        <w:rPr>
          <w:rFonts w:ascii="Times New Roman" w:hAnsi="Times New Roman" w:cs="Times New Roman"/>
          <w:sz w:val="24"/>
          <w:szCs w:val="24"/>
          <w:lang w:val="sr-Cyrl-BA"/>
        </w:rPr>
        <w:t xml:space="preserve">NEER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odraz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hAnsi="Times New Roman" w:cs="Times New Roman"/>
          <w:sz w:val="24"/>
          <w:szCs w:val="24"/>
          <w:lang w:val="sr-Cyrl-BA"/>
        </w:rPr>
        <w:t>deprecijacije</w:t>
      </w:r>
      <w:proofErr w:type="spellEnd"/>
      <w:r w:rsidRPr="00E968C0">
        <w:rPr>
          <w:rFonts w:ascii="Times New Roman" w:hAnsi="Times New Roman" w:cs="Times New Roman"/>
          <w:sz w:val="24"/>
          <w:szCs w:val="24"/>
          <w:lang w:val="sr-Cyrl-BA"/>
        </w:rPr>
        <w:t xml:space="preserve"> KM.</w:t>
      </w:r>
      <w:r w:rsidR="002B4405" w:rsidRPr="00ED6A6B">
        <w:rPr>
          <w:rFonts w:ascii="Times New Roman" w:hAnsi="Times New Roman" w:cs="Times New Roman"/>
          <w:sz w:val="24"/>
          <w:lang w:val="sr-Cyrl-BA"/>
        </w:rPr>
        <w:t xml:space="preserve"> </w:t>
      </w:r>
    </w:p>
    <w:p w14:paraId="337AB32C" w14:textId="014C8CF9" w:rsidR="003D79E6" w:rsidRPr="00ED6A6B" w:rsidRDefault="003D79E6" w:rsidP="002B4405">
      <w:pPr>
        <w:spacing w:after="200" w:line="276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14:paraId="70C8E806" w14:textId="77777777" w:rsidR="005A74E8" w:rsidRPr="00ED6A6B" w:rsidRDefault="005A74E8" w:rsidP="002B4405">
      <w:pPr>
        <w:spacing w:after="200" w:line="276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14:paraId="66DE491F" w14:textId="6C74D82E" w:rsidR="002B4405" w:rsidRPr="00A54163" w:rsidRDefault="00E968C0" w:rsidP="00F50602">
      <w:pPr>
        <w:pStyle w:val="Heading2"/>
        <w:rPr>
          <w:lang w:val="sr-Cyrl-BA"/>
        </w:rPr>
      </w:pPr>
      <w:proofErr w:type="spellStart"/>
      <w:r w:rsidRPr="00E968C0">
        <w:rPr>
          <w:lang w:val="sr-Cyrl-BA"/>
        </w:rPr>
        <w:t>Realni</w:t>
      </w:r>
      <w:proofErr w:type="spellEnd"/>
      <w:r w:rsidRPr="00E968C0">
        <w:rPr>
          <w:lang w:val="sr-Cyrl-BA"/>
        </w:rPr>
        <w:t xml:space="preserve"> </w:t>
      </w:r>
      <w:proofErr w:type="spellStart"/>
      <w:r w:rsidRPr="00E968C0">
        <w:rPr>
          <w:lang w:val="sr-Cyrl-BA"/>
        </w:rPr>
        <w:t>efektivni</w:t>
      </w:r>
      <w:proofErr w:type="spellEnd"/>
      <w:r w:rsidRPr="00E968C0">
        <w:rPr>
          <w:lang w:val="sr-Cyrl-BA"/>
        </w:rPr>
        <w:t xml:space="preserve"> </w:t>
      </w:r>
      <w:r w:rsidR="00961B97">
        <w:rPr>
          <w:lang w:val="hr-BA"/>
        </w:rPr>
        <w:t>tečaj</w:t>
      </w:r>
      <w:r w:rsidR="00D201E0" w:rsidRPr="00A54163">
        <w:rPr>
          <w:lang w:val="sr-Cyrl-BA"/>
        </w:rPr>
        <w:t xml:space="preserve"> </w:t>
      </w:r>
      <w:r w:rsidR="002B4405" w:rsidRPr="00A54163">
        <w:rPr>
          <w:lang w:val="sr-Cyrl-BA"/>
        </w:rPr>
        <w:t>(</w:t>
      </w:r>
      <w:r w:rsidR="002B4405" w:rsidRPr="00ED6A6B">
        <w:t>REER</w:t>
      </w:r>
      <w:r w:rsidR="002B4405" w:rsidRPr="00A54163">
        <w:rPr>
          <w:lang w:val="sr-Cyrl-BA"/>
        </w:rPr>
        <w:t>)</w:t>
      </w:r>
    </w:p>
    <w:p w14:paraId="5FD9A6D8" w14:textId="64847FCF" w:rsidR="003D79E6" w:rsidRPr="007E584F" w:rsidRDefault="003D79E6" w:rsidP="003D79E6">
      <w:pPr>
        <w:rPr>
          <w:lang w:val="bs-Cyrl-BA"/>
        </w:rPr>
      </w:pPr>
    </w:p>
    <w:p w14:paraId="4A282627" w14:textId="77777777" w:rsidR="005A74E8" w:rsidRPr="00ED6A6B" w:rsidRDefault="005A74E8" w:rsidP="003D79E6">
      <w:pPr>
        <w:rPr>
          <w:lang w:val="sr-Cyrl-BA"/>
        </w:rPr>
      </w:pPr>
    </w:p>
    <w:p w14:paraId="78A8133C" w14:textId="51BCD7DF" w:rsidR="002B4405" w:rsidRPr="00ED6A6B" w:rsidRDefault="00E968C0" w:rsidP="002B4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Realni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efektivni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služi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kao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pokazatelj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međunarodne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cjenovne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troškovne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konkurentnosti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Promjene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cjenovnoj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troškovnoj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konkurentnosti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o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vise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samo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o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kretanj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u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tečaja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nego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o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trend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u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kretanja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troškova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Poznato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realni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efektivni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2B4405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(R</w:t>
      </w:r>
      <w:r w:rsidR="009327A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EER), 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a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bilateralni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nominalni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bolja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mjera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proučavanje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konkurentnosti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</w:t>
      </w:r>
      <w:proofErr w:type="spellEnd"/>
      <w:r w:rsidR="00283FDB">
        <w:rPr>
          <w:rFonts w:ascii="Times New Roman" w:eastAsiaTheme="minorEastAsia" w:hAnsi="Times New Roman" w:cs="Times New Roman"/>
          <w:sz w:val="24"/>
          <w:szCs w:val="24"/>
          <w:lang w:val="hr-BA"/>
        </w:rPr>
        <w:t>n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ih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p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o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duzeća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globalnom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tržištu</w:t>
      </w:r>
      <w:proofErr w:type="spellEnd"/>
      <w:r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0C9F951C" w14:textId="2F6AC9B1" w:rsidR="00D23D3B" w:rsidRDefault="003D6368" w:rsidP="00D23D3B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REER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računa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kao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geometrijski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="00283FDB">
        <w:rPr>
          <w:rFonts w:ascii="Times New Roman" w:eastAsiaTheme="minorEastAsia" w:hAnsi="Times New Roman" w:cs="Times New Roman"/>
          <w:sz w:val="24"/>
          <w:szCs w:val="24"/>
          <w:lang w:val="hr-BA"/>
        </w:rPr>
        <w:t>r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ani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prosjek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bilateralnih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nominalnih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tečajeva</w:t>
      </w:r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deflacioni</w:t>
      </w:r>
      <w:proofErr w:type="spellEnd"/>
      <w:r w:rsidR="00283FDB">
        <w:rPr>
          <w:rFonts w:ascii="Times New Roman" w:eastAsiaTheme="minorEastAsia" w:hAnsi="Times New Roman" w:cs="Times New Roman"/>
          <w:sz w:val="24"/>
          <w:szCs w:val="24"/>
          <w:lang w:val="hr-BA"/>
        </w:rPr>
        <w:t>r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ani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uz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pomoć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relativnih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="00E968C0" w:rsidRPr="00E968C0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r w:rsidR="00D23D3B">
        <w:rPr>
          <w:rFonts w:ascii="Times New Roman" w:eastAsiaTheme="minorEastAsia" w:hAnsi="Times New Roman" w:cs="Times New Roman"/>
          <w:sz w:val="24"/>
          <w:szCs w:val="24"/>
        </w:rPr>
        <w:t xml:space="preserve">pri čemu je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</w:rPr>
        <w:t>praćenje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</w:rPr>
        <w:t xml:space="preserve"> cijena </w:t>
      </w:r>
      <w:r w:rsidR="00D23D3B">
        <w:rPr>
          <w:rFonts w:ascii="Times New Roman" w:eastAsiaTheme="minorEastAsia" w:hAnsi="Times New Roman" w:cs="Times New Roman"/>
          <w:sz w:val="24"/>
          <w:szCs w:val="24"/>
        </w:rPr>
        <w:t>temeljeno</w:t>
      </w:r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potrošačkih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engl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Consumer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Price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Index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– CPI)</w:t>
      </w:r>
      <w:r w:rsidR="00D23D3B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proizvođačkih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industrije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engl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Producer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Price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Index</w:t>
      </w:r>
      <w:proofErr w:type="spellEnd"/>
      <w:r w:rsidR="00D23D3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– PPI). </w:t>
      </w:r>
    </w:p>
    <w:p w14:paraId="62F6D0FE" w14:textId="6127F975" w:rsidR="009327AE" w:rsidRPr="00ED6A6B" w:rsidRDefault="009327AE" w:rsidP="002B4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769D89DF" w14:textId="7A8C23F4" w:rsidR="00F50602" w:rsidRPr="00ED6A6B" w:rsidRDefault="00F50602" w:rsidP="007120D0"/>
    <w:p w14:paraId="6D4C4AFD" w14:textId="77777777" w:rsidR="007120D0" w:rsidRPr="00ED6A6B" w:rsidRDefault="007120D0" w:rsidP="007120D0"/>
    <w:p w14:paraId="31BC8534" w14:textId="5B39B8F4" w:rsidR="000A0254" w:rsidRPr="00ED6A6B" w:rsidRDefault="00CB0B4F" w:rsidP="00F50602">
      <w:pPr>
        <w:pStyle w:val="Heading3"/>
      </w:pPr>
      <w:proofErr w:type="spellStart"/>
      <w:r w:rsidRPr="00CB0B4F">
        <w:t>Metod</w:t>
      </w:r>
      <w:r w:rsidR="00283FDB">
        <w:t>a</w:t>
      </w:r>
      <w:proofErr w:type="spellEnd"/>
      <w:r w:rsidRPr="00CB0B4F">
        <w:t xml:space="preserve"> </w:t>
      </w:r>
      <w:proofErr w:type="spellStart"/>
      <w:r w:rsidRPr="00CB0B4F">
        <w:t>izračuna</w:t>
      </w:r>
      <w:proofErr w:type="spellEnd"/>
    </w:p>
    <w:p w14:paraId="1F831680" w14:textId="14BF20B5" w:rsidR="003D79E6" w:rsidRPr="00ED6A6B" w:rsidRDefault="003D79E6" w:rsidP="003D79E6">
      <w:pPr>
        <w:rPr>
          <w:lang w:val="sr-Cyrl-BA"/>
        </w:rPr>
      </w:pPr>
    </w:p>
    <w:p w14:paraId="03567A6D" w14:textId="77777777" w:rsidR="00F50602" w:rsidRPr="00ED6A6B" w:rsidRDefault="00F50602" w:rsidP="003D79E6">
      <w:pPr>
        <w:rPr>
          <w:lang w:val="sr-Cyrl-BA"/>
        </w:rPr>
      </w:pPr>
    </w:p>
    <w:p w14:paraId="284EE912" w14:textId="77777777" w:rsidR="000A0254" w:rsidRPr="00ED6A6B" w:rsidRDefault="007E584F" w:rsidP="002B440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lang w:val="sr-Cyrl-BA"/>
                </w:rPr>
              </m:ctrlPr>
            </m:sSupPr>
            <m:e>
              <m:r>
                <w:rPr>
                  <w:rFonts w:ascii="Cambria Math" w:hAnsi="Cambria Math"/>
                  <w:sz w:val="24"/>
                  <w:lang w:val="sr-Cyrl-BA"/>
                </w:rPr>
                <m:t>REER</m:t>
              </m:r>
            </m:e>
            <m:sup>
              <m:r>
                <w:rPr>
                  <w:rFonts w:ascii="Cambria Math" w:hAnsi="Cambria Math"/>
                  <w:sz w:val="24"/>
                  <w:lang w:val="sr-Cyrl-BA"/>
                </w:rPr>
                <m:t>t</m:t>
              </m:r>
            </m:sup>
          </m:sSup>
          <m:r>
            <w:rPr>
              <w:rFonts w:ascii="Cambria Math" w:hAnsi="Cambria Math"/>
              <w:sz w:val="24"/>
              <w:lang w:val="sr-Cyrl-BA"/>
            </w:rPr>
            <m:t xml:space="preserve">=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4"/>
                  <w:lang w:val="sr-Cyrl-BA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val="sr-Cyrl-BA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lang w:val="sr-Cyrl-BA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sr-Cyrl-B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sr-Cyrl-B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sr-Cyrl-BA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sr-Cyrl-BA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sr-Cyrl-BA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val="sr-Cyrl-BA"/>
                                </w:rPr>
                                <m:t>KM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lang w:val="sr-Cyrl-BA"/>
                                </w:rPr>
                                <m:t>t</m:t>
                              </m: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sr-Cyrl-BA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sr-Cyrl-BA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val="sr-Cyrl-BA"/>
                                </w:rPr>
                                <m:t>i, KM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lang w:val="sr-Cyrl-BA"/>
                                </w:rPr>
                                <m:t>t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sr-Cyrl-BA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sr-Cyrl-BA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val="sr-Cyrl-BA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lang w:val="sr-Cyrl-BA"/>
                                </w:rPr>
                                <m:t>t</m:t>
                              </m:r>
                            </m:sup>
                          </m:sSubSup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val="sr-Cyrl-B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val="sr-Cyrl-BA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sr-Cyrl-BA"/>
                        </w:rPr>
                        <m:t>i</m:t>
                      </m:r>
                    </m:sub>
                  </m:sSub>
                </m:sup>
              </m:sSup>
            </m:e>
          </m:nary>
        </m:oMath>
      </m:oMathPara>
    </w:p>
    <w:p w14:paraId="76500E75" w14:textId="3BD3EAD2" w:rsidR="000A0254" w:rsidRPr="00ED6A6B" w:rsidRDefault="00CB0B4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gdje</w:t>
      </w:r>
      <w:r w:rsidR="00DD0D0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0A025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N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broj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zemalja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konkurenata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referentnoj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grupi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partnera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,</w:t>
      </w:r>
      <w:r w:rsidR="000A025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i, KM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r-Cyrl-BA"/>
              </w:rPr>
              <m:t>t</m:t>
            </m:r>
          </m:sup>
        </m:sSubSup>
      </m:oMath>
      <w:r w:rsidR="000A025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prosječnog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tečaja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valute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partnera</w:t>
      </w:r>
      <w:proofErr w:type="spellEnd"/>
      <w:r w:rsidR="000A025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0A0254"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 xml:space="preserve">i </w:t>
      </w:r>
      <w:proofErr w:type="spellStart"/>
      <w:r w:rsidR="0077386A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vis</w:t>
      </w:r>
      <w:proofErr w:type="spellEnd"/>
      <w:r w:rsidR="00CE6A9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–à–</w:t>
      </w:r>
      <w:proofErr w:type="spellStart"/>
      <w:r w:rsidR="0077386A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vis</w:t>
      </w:r>
      <w:proofErr w:type="spellEnd"/>
      <w:r w:rsidR="00CE6A9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0A025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KM 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razdoblju</w:t>
      </w:r>
      <w:r w:rsidR="000A0254"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 xml:space="preserve"> t</w:t>
      </w:r>
      <w:r w:rsidR="000A025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KM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t</m:t>
            </m:r>
          </m:sup>
        </m:sSubSup>
      </m:oMath>
      <w:r w:rsidR="003803E2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i</w:t>
      </w:r>
      <w:r w:rsidR="003803E2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B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t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sr-Cyrl-BA"/>
          </w:rPr>
          <m:t xml:space="preserve"> </m:t>
        </m:r>
      </m:oMath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predstavljaju deflatore sa zemljom partnerom</w:t>
      </w:r>
      <w:r w:rsidR="000A025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0A0254"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>i</w:t>
      </w:r>
      <w:r w:rsidR="000A025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B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BA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sr-Cyrl-BA"/>
          </w:rPr>
          <m:t xml:space="preserve"> </m:t>
        </m:r>
      </m:oMath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predstavlja trgovinski ponder dodijeljen valuti trgovinski partner </w:t>
      </w:r>
      <w:r w:rsidR="000A0254" w:rsidRPr="00ED6A6B">
        <w:rPr>
          <w:rFonts w:ascii="Times New Roman" w:eastAsiaTheme="minorEastAsia" w:hAnsi="Times New Roman" w:cs="Times New Roman"/>
          <w:i/>
          <w:sz w:val="24"/>
          <w:szCs w:val="24"/>
          <w:lang w:val="sr-Cyrl-BA"/>
        </w:rPr>
        <w:t>i</w:t>
      </w:r>
      <w:r w:rsidR="000A025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7847A42C" w14:textId="77777777" w:rsidR="003D6368" w:rsidRPr="00ED6A6B" w:rsidRDefault="003D636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6F722DFB" w14:textId="707FFB94" w:rsidR="00970AC4" w:rsidRPr="00A54163" w:rsidRDefault="00CB0B4F" w:rsidP="00F50602">
      <w:pPr>
        <w:pStyle w:val="Heading3"/>
        <w:rPr>
          <w:lang w:val="sr-Cyrl-BA"/>
        </w:rPr>
      </w:pPr>
      <w:proofErr w:type="spellStart"/>
      <w:r w:rsidRPr="00CB0B4F">
        <w:rPr>
          <w:lang w:val="sr-Cyrl-BA"/>
        </w:rPr>
        <w:t>Odabir</w:t>
      </w:r>
      <w:proofErr w:type="spellEnd"/>
      <w:r w:rsidRPr="00CB0B4F">
        <w:rPr>
          <w:lang w:val="sr-Cyrl-BA"/>
        </w:rPr>
        <w:t xml:space="preserve"> </w:t>
      </w:r>
      <w:proofErr w:type="spellStart"/>
      <w:r w:rsidRPr="00CB0B4F">
        <w:rPr>
          <w:lang w:val="sr-Cyrl-BA"/>
        </w:rPr>
        <w:t>deflatora</w:t>
      </w:r>
      <w:proofErr w:type="spellEnd"/>
    </w:p>
    <w:p w14:paraId="136A14CA" w14:textId="77777777" w:rsidR="003D79E6" w:rsidRPr="00ED6A6B" w:rsidRDefault="003D79E6" w:rsidP="003D79E6">
      <w:pPr>
        <w:rPr>
          <w:lang w:val="sr-Cyrl-BA"/>
        </w:rPr>
      </w:pPr>
    </w:p>
    <w:p w14:paraId="0A5AFC16" w14:textId="3F7ADA25" w:rsidR="00970AC4" w:rsidRPr="00ED6A6B" w:rsidRDefault="00CB0B4F" w:rsidP="00F50602">
      <w:pPr>
        <w:pStyle w:val="Heading4"/>
      </w:pPr>
      <w:r w:rsidRPr="00CB0B4F">
        <w:t>Potrošačke cijene</w:t>
      </w:r>
      <w:r w:rsidR="006A33B7" w:rsidRPr="00ED6A6B">
        <w:t xml:space="preserve"> </w:t>
      </w:r>
      <w:r w:rsidR="00970AC4" w:rsidRPr="00ED6A6B">
        <w:t>– CPI</w:t>
      </w:r>
    </w:p>
    <w:p w14:paraId="4B5249BB" w14:textId="6183549F" w:rsidR="00CB0B4F" w:rsidRDefault="00CB0B4F" w:rsidP="006A33B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potrošačkih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jedan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je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od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dva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deflatora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izračunu</w:t>
      </w:r>
      <w:proofErr w:type="spellEnd"/>
      <w:r w:rsidR="006A33B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77386A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REER</w:t>
      </w:r>
      <w:r w:rsidR="00970AC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Upotreba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potrošačkih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vrlo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praktična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jer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metodologija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njegovog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prilično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usklađena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među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zemljama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jer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računa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temelju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šaric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e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), a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relativno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brzo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dostupni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veliki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broj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zemalja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Međutim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nedostatak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tome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što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uključuje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robu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usluge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kojima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trguje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međunarodnoj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raz</w:t>
      </w:r>
      <w:proofErr w:type="spellEnd"/>
      <w:r w:rsidR="007E584F">
        <w:rPr>
          <w:rFonts w:ascii="Times New Roman" w:eastAsiaTheme="minorEastAsia" w:hAnsi="Times New Roman" w:cs="Times New Roman"/>
          <w:sz w:val="24"/>
          <w:szCs w:val="24"/>
          <w:lang w:val="hr-HR"/>
        </w:rPr>
        <w:t>i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a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isključuje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kapitalna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dobra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2E619438" w14:textId="55D8DDB9" w:rsidR="00CB0B4F" w:rsidRPr="00CB0B4F" w:rsidRDefault="00970AC4" w:rsidP="00CB0B4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CPI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preuzimaju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se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od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različitih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izvora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mjesečno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j</w:t>
      </w:r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razini</w:t>
      </w:r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počev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od 2005.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godine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Podatke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Austriju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Belgiju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Francusku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Nizozemsku</w:t>
      </w:r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Hrvatsku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Italiju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Mađarsku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Njemačku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Poljsku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Rumunj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sk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Sjevernu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Makedoniju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Sjedinjene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Američke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Države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Slovačku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Sloveniju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Srbiju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Tursku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Crnu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Goru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Češku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Šv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i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carsku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Španj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olsk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objavljuje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414F54">
        <w:rPr>
          <w:rFonts w:ascii="Times New Roman" w:eastAsiaTheme="minorEastAsia" w:hAnsi="Times New Roman" w:cs="Times New Roman"/>
          <w:sz w:val="24"/>
          <w:szCs w:val="24"/>
        </w:rPr>
        <w:t>EUROSTAT</w:t>
      </w:r>
      <w:r w:rsidR="009A259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;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podatke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za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Kinu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Indiju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Veliku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Britaniju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objavljuje</w:t>
      </w:r>
      <w:proofErr w:type="spellEnd"/>
      <w:r w:rsidR="009A259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OECD,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dok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podatke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Rusiju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vidjeti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fusnotu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1)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objavljuje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nacionalna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statistička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institucija</w:t>
      </w:r>
      <w:proofErr w:type="spellEnd"/>
      <w:r w:rsidR="00CB0B4F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3AF89CD6" w14:textId="70800481" w:rsidR="003803E2" w:rsidRPr="00ED6A6B" w:rsidRDefault="00CB0B4F" w:rsidP="00CB0B4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Podatke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Bosnu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Hercegovinu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objavljuje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Agencija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statistiku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Bosne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Hercegovine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6EA58AC4" w14:textId="31F4DB45" w:rsidR="005543CF" w:rsidRPr="00ED6A6B" w:rsidRDefault="00CB0B4F" w:rsidP="00F50602">
      <w:pPr>
        <w:pStyle w:val="Heading4"/>
      </w:pPr>
      <w:r w:rsidRPr="00CB0B4F">
        <w:t>Indeks proizvođačkih cijena industrije</w:t>
      </w:r>
      <w:r w:rsidR="005543CF" w:rsidRPr="00ED6A6B">
        <w:t xml:space="preserve"> – PPI</w:t>
      </w:r>
    </w:p>
    <w:p w14:paraId="5FC976EA" w14:textId="64B629D0" w:rsidR="00445441" w:rsidRPr="00ED6A6B" w:rsidRDefault="00CB0B4F" w:rsidP="005543C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proizvođačkih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industrije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mjeri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bruto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mjesečne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promjene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cijenama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industrijskih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Obuhvaća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veći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broj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sudjeluju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međunarodnoj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razmjeni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relativno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dobra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zamjena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onih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proizvoda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sudjeluju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međunarodnoj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trgovini</w:t>
      </w:r>
      <w:proofErr w:type="spellEnd"/>
      <w:r w:rsidR="0044544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r w:rsidR="0077386A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PPI</w:t>
      </w:r>
      <w:r w:rsidR="0044544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mjeri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cjenovne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promjene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iz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perspektive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proizvođača</w:t>
      </w:r>
      <w:proofErr w:type="spellEnd"/>
      <w:r w:rsidR="00445441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456C5464" w14:textId="1977D354" w:rsidR="00CB0B4F" w:rsidRPr="00CB0B4F" w:rsidRDefault="00CB0B4F" w:rsidP="00CB0B4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Mjesečni</w:t>
      </w:r>
      <w:r w:rsidR="009A259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PPI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sve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partnere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283FDB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="00283FDB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od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2007.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godine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Austriju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Belgiju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Francusku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Hrvatsku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Italiju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Mađarsku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Nizozemsku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Njemačku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Poljsku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Rumunj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sk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Sjevernu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Makedoniju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Slovačku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Sloveniju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Srbiju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Češku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Šv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i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carsku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Španj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olsk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ukupno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–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objavljuje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DA13FF">
        <w:rPr>
          <w:rFonts w:ascii="Times New Roman" w:eastAsiaTheme="minorEastAsia" w:hAnsi="Times New Roman" w:cs="Times New Roman"/>
          <w:sz w:val="24"/>
          <w:szCs w:val="24"/>
        </w:rPr>
        <w:t>EUROSTAT</w:t>
      </w:r>
      <w:r w:rsidR="009A259C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;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Crnu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Goru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Tursku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–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takođe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r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objavljuje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DA13FF">
        <w:rPr>
          <w:rFonts w:ascii="Times New Roman" w:eastAsiaTheme="minorEastAsia" w:hAnsi="Times New Roman" w:cs="Times New Roman"/>
          <w:sz w:val="24"/>
          <w:szCs w:val="24"/>
        </w:rPr>
        <w:t>EUROSTAT</w:t>
      </w:r>
      <w:r w:rsidR="007120D0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a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Veliku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Britaniju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Kinu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lastRenderedPageBreak/>
        <w:t>Rusiju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Sjedinjene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Američke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Države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a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objavljuju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nacionalni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zavodi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statistiku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ili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druge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relevantne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agencije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59FB4D79" w14:textId="1B7DBF1F" w:rsidR="007120D0" w:rsidRPr="00ED6A6B" w:rsidRDefault="00CB0B4F" w:rsidP="00CB0B4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Bosnu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Hercegovinu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proizvođačkih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industrije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domaćem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tržištu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</w:t>
      </w:r>
      <w:proofErr w:type="spellEnd"/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objavljuje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Agencija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statistiku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Bosne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Hercegovine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464C2D1A" w14:textId="77777777" w:rsidR="007120D0" w:rsidRPr="00ED6A6B" w:rsidRDefault="007120D0" w:rsidP="005543C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4B789022" w14:textId="0E9DE2DE" w:rsidR="00C0265E" w:rsidRPr="00A54163" w:rsidRDefault="00CB0B4F" w:rsidP="007120D0">
      <w:pPr>
        <w:pStyle w:val="Heading2"/>
        <w:rPr>
          <w:lang w:val="sr-Cyrl-BA"/>
        </w:rPr>
      </w:pPr>
      <w:proofErr w:type="spellStart"/>
      <w:r w:rsidRPr="00CB0B4F">
        <w:rPr>
          <w:lang w:val="sr-Cyrl-BA"/>
        </w:rPr>
        <w:t>Tumačenje</w:t>
      </w:r>
      <w:proofErr w:type="spellEnd"/>
      <w:r w:rsidRPr="00CB0B4F">
        <w:rPr>
          <w:lang w:val="sr-Cyrl-BA"/>
        </w:rPr>
        <w:t xml:space="preserve"> </w:t>
      </w:r>
      <w:proofErr w:type="spellStart"/>
      <w:r w:rsidRPr="00CB0B4F">
        <w:rPr>
          <w:lang w:val="sr-Cyrl-BA"/>
        </w:rPr>
        <w:t>indeksa</w:t>
      </w:r>
      <w:proofErr w:type="spellEnd"/>
    </w:p>
    <w:p w14:paraId="3B78EDA2" w14:textId="736B1BF4" w:rsidR="007120D0" w:rsidRPr="00A54163" w:rsidRDefault="007120D0" w:rsidP="007120D0">
      <w:pPr>
        <w:rPr>
          <w:lang w:val="sr-Cyrl-BA"/>
        </w:rPr>
      </w:pPr>
    </w:p>
    <w:p w14:paraId="6F1C53DA" w14:textId="77777777" w:rsidR="007120D0" w:rsidRPr="00A54163" w:rsidRDefault="007120D0" w:rsidP="007120D0">
      <w:pPr>
        <w:rPr>
          <w:lang w:val="sr-Cyrl-BA"/>
        </w:rPr>
      </w:pPr>
    </w:p>
    <w:p w14:paraId="2FAB85B0" w14:textId="6DE31943" w:rsidR="00CB0B4F" w:rsidRPr="00CB0B4F" w:rsidRDefault="00CB0B4F" w:rsidP="00CB0B4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Aprecijacija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97EE4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REER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tumači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283FDB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="00283FDB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kao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aprecijacija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vrijednosti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valute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može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javiti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ili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kao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povećanje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razine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ili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kao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smanjenje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razine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ino</w:t>
      </w:r>
      <w:r w:rsidR="00961B97">
        <w:rPr>
          <w:rFonts w:ascii="Times New Roman" w:eastAsiaTheme="minorEastAsia" w:hAnsi="Times New Roman" w:cs="Times New Roman"/>
          <w:sz w:val="24"/>
          <w:szCs w:val="24"/>
          <w:lang w:val="hr-BA"/>
        </w:rPr>
        <w:t>zem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dovodi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pogoršanja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bilan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ce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jer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će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izvoz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smanjiti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pošto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postaje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skuplji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dok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će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uvoz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porasti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jer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će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sada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biti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relativno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jeftiniji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Stoga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porast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ukazuje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gubitak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u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trgovinskoj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konkurentnosti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515562C1" w14:textId="13B3F17A" w:rsidR="00F97EE4" w:rsidRPr="00ED6A6B" w:rsidRDefault="00CB0B4F" w:rsidP="00CB0B4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Smanjivanje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predstavlja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deprecijaciju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vrijednosti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valute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zbog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smanjenja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razine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domaćih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porasta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razine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ino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zem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cijena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5406F6E8" w14:textId="2A3B0424" w:rsidR="007120D0" w:rsidRPr="00ED6A6B" w:rsidRDefault="007120D0" w:rsidP="00F97EE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351A9519" w14:textId="77777777" w:rsidR="007120D0" w:rsidRPr="00ED6A6B" w:rsidRDefault="007120D0" w:rsidP="00F97EE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53BA58C2" w14:textId="0AAB77C2" w:rsidR="00191F0C" w:rsidRPr="00A54163" w:rsidRDefault="00191F0C" w:rsidP="00F50602">
      <w:pPr>
        <w:pStyle w:val="Heading2"/>
        <w:rPr>
          <w:lang w:val="sr-Cyrl-BA"/>
        </w:rPr>
      </w:pPr>
      <w:r w:rsidRPr="00ED6A6B">
        <w:t>Chain</w:t>
      </w:r>
      <w:r w:rsidR="0077386A" w:rsidRPr="00A54163">
        <w:rPr>
          <w:lang w:val="sr-Cyrl-BA"/>
        </w:rPr>
        <w:t xml:space="preserve"> </w:t>
      </w:r>
      <w:r w:rsidRPr="00ED6A6B">
        <w:t>Linking</w:t>
      </w:r>
      <w:r w:rsidR="0003749C" w:rsidRPr="00A54163">
        <w:rPr>
          <w:lang w:val="sr-Cyrl-BA"/>
        </w:rPr>
        <w:t xml:space="preserve"> (</w:t>
      </w:r>
      <w:proofErr w:type="spellStart"/>
      <w:r w:rsidR="00CB0B4F" w:rsidRPr="00CB0B4F">
        <w:rPr>
          <w:lang w:val="sr-Cyrl-BA"/>
        </w:rPr>
        <w:t>lančano</w:t>
      </w:r>
      <w:proofErr w:type="spellEnd"/>
      <w:r w:rsidR="00CB0B4F" w:rsidRPr="00CB0B4F">
        <w:rPr>
          <w:lang w:val="sr-Cyrl-BA"/>
        </w:rPr>
        <w:t xml:space="preserve"> </w:t>
      </w:r>
      <w:proofErr w:type="spellStart"/>
      <w:r w:rsidR="00CB0B4F" w:rsidRPr="00CB0B4F">
        <w:rPr>
          <w:lang w:val="sr-Cyrl-BA"/>
        </w:rPr>
        <w:t>povezivanje</w:t>
      </w:r>
      <w:proofErr w:type="spellEnd"/>
      <w:r w:rsidR="0003749C" w:rsidRPr="00A54163">
        <w:rPr>
          <w:lang w:val="sr-Cyrl-BA"/>
        </w:rPr>
        <w:t>)</w:t>
      </w:r>
    </w:p>
    <w:p w14:paraId="60BEE5E6" w14:textId="1686A17E" w:rsidR="007120D0" w:rsidRPr="00A54163" w:rsidRDefault="007120D0" w:rsidP="007120D0">
      <w:pPr>
        <w:rPr>
          <w:lang w:val="sr-Cyrl-BA"/>
        </w:rPr>
      </w:pPr>
    </w:p>
    <w:p w14:paraId="45EE18B1" w14:textId="77777777" w:rsidR="007120D0" w:rsidRPr="00A54163" w:rsidRDefault="007120D0" w:rsidP="007120D0">
      <w:pPr>
        <w:rPr>
          <w:lang w:val="sr-Cyrl-BA"/>
        </w:rPr>
      </w:pPr>
    </w:p>
    <w:p w14:paraId="7A9EE0D6" w14:textId="619F91E4" w:rsidR="00CB0B4F" w:rsidRPr="00CB0B4F" w:rsidRDefault="00CB0B4F" w:rsidP="00CB0B4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Kao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što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već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pomenuto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vremenski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283FDB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="00283FDB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promjenjivi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izračunavaju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trogodišnj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preklapaju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Razlog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upotrebu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vremenski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promjenjivi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jeste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trendovi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vremenom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mijenjaju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s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fiksnim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ponderom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može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evidentira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ti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date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učinke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njihovi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postanu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vremenom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neažurni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koriš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t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enje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fiksnih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dovelo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ili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precjenjivanja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određene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zemlje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ili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d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cjenjivanja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njenog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značaja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).</w:t>
      </w:r>
    </w:p>
    <w:p w14:paraId="3C247D56" w14:textId="64D16AFA" w:rsidR="00CB0B4F" w:rsidRPr="00CB0B4F" w:rsidRDefault="00CB0B4F" w:rsidP="00CB0B4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Stoga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jedan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od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načina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otklanjanje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problema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gdje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računa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koristeći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bazn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o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razdoblje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jeste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koristi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ti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„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chain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linking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“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pristup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koji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kreiran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pomoću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ovog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pristupa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povezuje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tečaj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trgovinske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ponder</w:t>
      </w:r>
      <w:proofErr w:type="spellEnd"/>
      <w:r w:rsidR="00283FDB">
        <w:rPr>
          <w:rFonts w:ascii="Times New Roman" w:eastAsiaTheme="minorEastAsia" w:hAnsi="Times New Roman" w:cs="Times New Roman"/>
          <w:sz w:val="24"/>
          <w:szCs w:val="24"/>
          <w:lang w:val="hr-BA"/>
        </w:rPr>
        <w:t>e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od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razdoblja</w:t>
      </w:r>
      <w:r w:rsidR="00F76E36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54470D7A" w14:textId="2214C166" w:rsidR="00E146AD" w:rsidRPr="00ED6A6B" w:rsidRDefault="00CB0B4F" w:rsidP="00CB0B4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efektivni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tečaj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KM,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razdoblja</w:t>
      </w:r>
      <w:r w:rsidR="00F76E36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trogodšnj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oj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razini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(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trenutno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koriste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datih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C216F6">
        <w:rPr>
          <w:rFonts w:ascii="Times New Roman" w:eastAsiaTheme="minorEastAsia" w:hAnsi="Times New Roman" w:cs="Times New Roman"/>
          <w:sz w:val="24"/>
          <w:szCs w:val="24"/>
          <w:lang w:val="sr-Latn-BA"/>
        </w:rPr>
        <w:t>šes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t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: 2007.-2009., 2010.-2012., 2013.-2015., 2016.-2018. i 2019.-2021).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znači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lančano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vezani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kraju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svakog</w:t>
      </w:r>
      <w:proofErr w:type="spellEnd"/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razdoblja</w:t>
      </w:r>
      <w:r w:rsidR="00F76E36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tako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kreiran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indeks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daje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t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o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čnu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sliku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promjena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iz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razdoblja</w:t>
      </w:r>
      <w:r w:rsidR="00F76E36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u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razdoblje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p w14:paraId="58788849" w14:textId="23114EAF" w:rsidR="007120D0" w:rsidRPr="00ED6A6B" w:rsidRDefault="007120D0" w:rsidP="007120D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</w:p>
    <w:p w14:paraId="6A045435" w14:textId="77777777" w:rsidR="007120D0" w:rsidRPr="00ED6A6B" w:rsidRDefault="007120D0" w:rsidP="007120D0">
      <w:pPr>
        <w:spacing w:after="200" w:line="276" w:lineRule="auto"/>
        <w:jc w:val="both"/>
      </w:pPr>
    </w:p>
    <w:p w14:paraId="44DCE2E1" w14:textId="4F7AA0B9" w:rsidR="00734206" w:rsidRPr="00A54163" w:rsidRDefault="00CB0B4F" w:rsidP="007120D0">
      <w:pPr>
        <w:pStyle w:val="Heading2"/>
        <w:rPr>
          <w:lang w:val="bs-Latn-BA"/>
        </w:rPr>
      </w:pPr>
      <w:proofErr w:type="spellStart"/>
      <w:r w:rsidRPr="00CB0B4F">
        <w:lastRenderedPageBreak/>
        <w:t>Periodika</w:t>
      </w:r>
      <w:proofErr w:type="spellEnd"/>
      <w:r w:rsidRPr="00CB0B4F">
        <w:t xml:space="preserve"> </w:t>
      </w:r>
      <w:proofErr w:type="spellStart"/>
      <w:r w:rsidRPr="00CB0B4F">
        <w:t>podataka</w:t>
      </w:r>
      <w:proofErr w:type="spellEnd"/>
    </w:p>
    <w:p w14:paraId="255D840B" w14:textId="0F9F714A" w:rsidR="007120D0" w:rsidRPr="00A54163" w:rsidRDefault="007120D0" w:rsidP="007120D0"/>
    <w:p w14:paraId="72C9EECF" w14:textId="77777777" w:rsidR="007120D0" w:rsidRPr="00A54163" w:rsidRDefault="007120D0" w:rsidP="007120D0"/>
    <w:p w14:paraId="68F8983E" w14:textId="425EC2D6" w:rsidR="00E30007" w:rsidRPr="00CD30C3" w:rsidRDefault="00CB0B4F" w:rsidP="00734206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BA"/>
        </w:rPr>
      </w:pP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NEER (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s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bazom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2015=100) </w:t>
      </w:r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i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„</w:t>
      </w:r>
      <w:proofErr w:type="spellStart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chain</w:t>
      </w:r>
      <w:proofErr w:type="spellEnd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linked</w:t>
      </w:r>
      <w:proofErr w:type="spellEnd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“ NEER, REER – </w:t>
      </w:r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deflator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CPI (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s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bazom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2015=100) </w:t>
      </w:r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i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„</w:t>
      </w:r>
      <w:proofErr w:type="spellStart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chain</w:t>
      </w:r>
      <w:proofErr w:type="spellEnd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linked</w:t>
      </w:r>
      <w:proofErr w:type="spellEnd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“ REER –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deflator</w:t>
      </w:r>
      <w:proofErr w:type="spellEnd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CPI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dostupni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F76E36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="00F76E36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od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siječnja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2005.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godine</w:t>
      </w:r>
      <w:proofErr w:type="spellEnd"/>
      <w:r w:rsidR="007E584F">
        <w:rPr>
          <w:rFonts w:ascii="Times New Roman" w:eastAsiaTheme="minorEastAsia" w:hAnsi="Times New Roman" w:cs="Times New Roman"/>
          <w:sz w:val="24"/>
          <w:szCs w:val="24"/>
          <w:lang w:val="hr-HR"/>
        </w:rPr>
        <w:t>, a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podaci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za</w:t>
      </w:r>
      <w:proofErr w:type="spellEnd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REER –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deflator</w:t>
      </w:r>
      <w:proofErr w:type="spellEnd"/>
      <w:r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PPI (</w:t>
      </w:r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s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bazom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2015=100) </w:t>
      </w:r>
      <w:r>
        <w:rPr>
          <w:rFonts w:ascii="Times New Roman" w:eastAsiaTheme="minorEastAsia" w:hAnsi="Times New Roman" w:cs="Times New Roman"/>
          <w:sz w:val="24"/>
          <w:szCs w:val="24"/>
          <w:lang w:val="hr-BA"/>
        </w:rPr>
        <w:t>i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„</w:t>
      </w:r>
      <w:proofErr w:type="spellStart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chain</w:t>
      </w:r>
      <w:proofErr w:type="spellEnd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linked</w:t>
      </w:r>
      <w:proofErr w:type="spellEnd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“  REER –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deflator</w:t>
      </w:r>
      <w:proofErr w:type="spellEnd"/>
      <w:r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PPI</w:t>
      </w:r>
      <w:r w:rsidR="00B8463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dostupni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F76E36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su</w:t>
      </w:r>
      <w:proofErr w:type="spellEnd"/>
      <w:r w:rsidR="00F76E36"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od</w:t>
      </w:r>
      <w:proofErr w:type="spellEnd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</w:t>
      </w:r>
      <w:r w:rsidR="00F76E36">
        <w:rPr>
          <w:rFonts w:ascii="Times New Roman" w:eastAsiaTheme="minorEastAsia" w:hAnsi="Times New Roman" w:cs="Times New Roman"/>
          <w:sz w:val="24"/>
          <w:szCs w:val="24"/>
          <w:lang w:val="hr-BA"/>
        </w:rPr>
        <w:t>siječnja</w:t>
      </w:r>
      <w:r w:rsidR="00B8463E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 2007</w:t>
      </w:r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 xml:space="preserve">. </w:t>
      </w:r>
      <w:proofErr w:type="spellStart"/>
      <w:r w:rsidRPr="00CB0B4F">
        <w:rPr>
          <w:rFonts w:ascii="Times New Roman" w:eastAsiaTheme="minorEastAsia" w:hAnsi="Times New Roman" w:cs="Times New Roman"/>
          <w:sz w:val="24"/>
          <w:szCs w:val="24"/>
          <w:lang w:val="sr-Cyrl-BA"/>
        </w:rPr>
        <w:t>godine</w:t>
      </w:r>
      <w:proofErr w:type="spellEnd"/>
      <w:r w:rsidR="00E30007" w:rsidRPr="00ED6A6B">
        <w:rPr>
          <w:rFonts w:ascii="Times New Roman" w:eastAsiaTheme="minorEastAsia" w:hAnsi="Times New Roman" w:cs="Times New Roman"/>
          <w:sz w:val="24"/>
          <w:szCs w:val="24"/>
          <w:lang w:val="sr-Cyrl-BA"/>
        </w:rPr>
        <w:t>.</w:t>
      </w:r>
    </w:p>
    <w:sectPr w:rsidR="00E30007" w:rsidRPr="00CD30C3" w:rsidSect="00054C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3746" w14:textId="77777777" w:rsidR="00DC3E7B" w:rsidRDefault="00DC3E7B" w:rsidP="00AC648C">
      <w:pPr>
        <w:spacing w:after="0" w:line="240" w:lineRule="auto"/>
      </w:pPr>
      <w:r>
        <w:separator/>
      </w:r>
    </w:p>
  </w:endnote>
  <w:endnote w:type="continuationSeparator" w:id="0">
    <w:p w14:paraId="0F7C31F7" w14:textId="77777777" w:rsidR="00DC3E7B" w:rsidRDefault="00DC3E7B" w:rsidP="00AC648C">
      <w:pPr>
        <w:spacing w:after="0" w:line="240" w:lineRule="auto"/>
      </w:pPr>
      <w:r>
        <w:continuationSeparator/>
      </w:r>
    </w:p>
  </w:endnote>
  <w:endnote w:type="continuationNotice" w:id="1">
    <w:p w14:paraId="46F7A02A" w14:textId="77777777" w:rsidR="00DC3E7B" w:rsidRDefault="00DC3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6A51" w14:textId="77777777" w:rsidR="00DD3D0B" w:rsidRDefault="00DD3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52AA" w14:textId="77777777" w:rsidR="00DC3E7B" w:rsidRDefault="00DC3E7B" w:rsidP="00AC648C">
      <w:pPr>
        <w:spacing w:after="0" w:line="240" w:lineRule="auto"/>
      </w:pPr>
      <w:r>
        <w:separator/>
      </w:r>
    </w:p>
  </w:footnote>
  <w:footnote w:type="continuationSeparator" w:id="0">
    <w:p w14:paraId="72033ABF" w14:textId="77777777" w:rsidR="00DC3E7B" w:rsidRDefault="00DC3E7B" w:rsidP="00AC648C">
      <w:pPr>
        <w:spacing w:after="0" w:line="240" w:lineRule="auto"/>
      </w:pPr>
      <w:r>
        <w:continuationSeparator/>
      </w:r>
    </w:p>
  </w:footnote>
  <w:footnote w:type="continuationNotice" w:id="1">
    <w:p w14:paraId="4F798ABE" w14:textId="77777777" w:rsidR="00DC3E7B" w:rsidRDefault="00DC3E7B">
      <w:pPr>
        <w:spacing w:after="0" w:line="240" w:lineRule="auto"/>
      </w:pPr>
    </w:p>
  </w:footnote>
  <w:footnote w:id="2">
    <w:p w14:paraId="4FAB78F1" w14:textId="2FF7DF23" w:rsidR="00B94502" w:rsidRPr="00B94502" w:rsidRDefault="00B94502">
      <w:pPr>
        <w:pStyle w:val="FootnoteText"/>
        <w:rPr>
          <w:lang w:val="sr-Latn-BA"/>
        </w:rPr>
      </w:pPr>
      <w:bookmarkStart w:id="0" w:name="_Hlk148607975"/>
      <w:bookmarkStart w:id="1" w:name="_Hlk148607976"/>
      <w:r>
        <w:rPr>
          <w:rStyle w:val="FootnoteReference"/>
        </w:rPr>
        <w:footnoteRef/>
      </w:r>
      <w:r>
        <w:t xml:space="preserve"> u kategoriji značajnih trgovinskih partnera posmatrana do trogodišnjeg </w:t>
      </w:r>
      <w:proofErr w:type="spellStart"/>
      <w:r>
        <w:t>ponderacionog</w:t>
      </w:r>
      <w:proofErr w:type="spellEnd"/>
      <w:r>
        <w:t xml:space="preserve"> perioda</w:t>
      </w:r>
      <w:r>
        <w:rPr>
          <w:lang w:val="sr-Cyrl-BA"/>
        </w:rPr>
        <w:t xml:space="preserve"> 2019-2022.</w:t>
      </w:r>
      <w:bookmarkEnd w:id="0"/>
      <w:bookmarkEnd w:id="1"/>
    </w:p>
  </w:footnote>
  <w:footnote w:id="3">
    <w:p w14:paraId="6FFD9129" w14:textId="458F7745" w:rsidR="00B94502" w:rsidRPr="00B94502" w:rsidRDefault="00B94502">
      <w:pPr>
        <w:pStyle w:val="FootnoteText"/>
        <w:rPr>
          <w:lang w:val="sr-Latn-BA"/>
        </w:rPr>
      </w:pPr>
      <w:r>
        <w:rPr>
          <w:rStyle w:val="FootnoteReference"/>
        </w:rPr>
        <w:footnoteRef/>
      </w:r>
      <w:r>
        <w:t xml:space="preserve"> Npr. Indija, Slovačka, Slovenija i Španija su u 2023. postale značajni trgovinski partneri</w:t>
      </w:r>
      <w:r w:rsidRPr="002559E2">
        <w:t xml:space="preserve">, </w:t>
      </w:r>
      <w:r>
        <w:t xml:space="preserve">pa su dodane u </w:t>
      </w:r>
      <w:proofErr w:type="spellStart"/>
      <w:r>
        <w:t>ponderacionu</w:t>
      </w:r>
      <w:proofErr w:type="spellEnd"/>
      <w:r>
        <w:t xml:space="preserve"> šemu.</w:t>
      </w:r>
    </w:p>
  </w:footnote>
  <w:footnote w:id="4">
    <w:p w14:paraId="38EE53F8" w14:textId="57BD5DDD" w:rsidR="002D3071" w:rsidRPr="002D3071" w:rsidRDefault="002D3071">
      <w:pPr>
        <w:pStyle w:val="FootnoteText"/>
        <w:rPr>
          <w:lang w:val="sr-Latn-BA"/>
        </w:rPr>
      </w:pPr>
      <w:r>
        <w:rPr>
          <w:rStyle w:val="FootnoteReference"/>
        </w:rPr>
        <w:footnoteRef/>
      </w:r>
      <w:r>
        <w:t xml:space="preserve"> Sukladno ažuriranim podacima</w:t>
      </w:r>
      <w:r w:rsidRPr="00394C21">
        <w:rPr>
          <w:rFonts w:ascii="Times New Roman" w:hAnsi="Times New Roman" w:cs="Times New Roman"/>
          <w:sz w:val="18"/>
          <w:szCs w:val="18"/>
          <w:lang w:val="sr-Cyrl-BA"/>
        </w:rPr>
        <w:t xml:space="preserve"> </w:t>
      </w:r>
      <w:r w:rsidRPr="00394C21">
        <w:rPr>
          <w:rFonts w:ascii="Times New Roman" w:hAnsi="Times New Roman" w:cs="Times New Roman"/>
          <w:sz w:val="18"/>
          <w:szCs w:val="18"/>
          <w:lang w:val="sr-Latn-BA"/>
        </w:rPr>
        <w:t>UNCTAD</w:t>
      </w:r>
      <w:r>
        <w:rPr>
          <w:rFonts w:ascii="Times New Roman" w:hAnsi="Times New Roman" w:cs="Times New Roman"/>
          <w:sz w:val="18"/>
          <w:szCs w:val="18"/>
          <w:lang w:val="bs-Cyrl-BA"/>
        </w:rPr>
        <w:t>-а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A01E" w14:textId="77777777" w:rsidR="00DD3D0B" w:rsidRDefault="00DD3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7F1"/>
    <w:multiLevelType w:val="hybridMultilevel"/>
    <w:tmpl w:val="63F66E3E"/>
    <w:lvl w:ilvl="0" w:tplc="F828D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5F1A"/>
    <w:multiLevelType w:val="hybridMultilevel"/>
    <w:tmpl w:val="4238CBF8"/>
    <w:lvl w:ilvl="0" w:tplc="55D8D0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5D8D0C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A0"/>
    <w:rsid w:val="000007E8"/>
    <w:rsid w:val="000233A3"/>
    <w:rsid w:val="0003749C"/>
    <w:rsid w:val="000413F0"/>
    <w:rsid w:val="0004595F"/>
    <w:rsid w:val="00054C75"/>
    <w:rsid w:val="0006287D"/>
    <w:rsid w:val="00073CBC"/>
    <w:rsid w:val="000821BB"/>
    <w:rsid w:val="00082A7C"/>
    <w:rsid w:val="00086BF4"/>
    <w:rsid w:val="000A0254"/>
    <w:rsid w:val="000D76E3"/>
    <w:rsid w:val="0011703A"/>
    <w:rsid w:val="001279D3"/>
    <w:rsid w:val="00130FBB"/>
    <w:rsid w:val="001434EE"/>
    <w:rsid w:val="0015765F"/>
    <w:rsid w:val="00191F0C"/>
    <w:rsid w:val="001B41E1"/>
    <w:rsid w:val="001C0C7E"/>
    <w:rsid w:val="001D31FB"/>
    <w:rsid w:val="001E6156"/>
    <w:rsid w:val="00212F48"/>
    <w:rsid w:val="002149EE"/>
    <w:rsid w:val="00214BB1"/>
    <w:rsid w:val="00232214"/>
    <w:rsid w:val="00243FB3"/>
    <w:rsid w:val="00255A39"/>
    <w:rsid w:val="00261810"/>
    <w:rsid w:val="00283FDB"/>
    <w:rsid w:val="002A3538"/>
    <w:rsid w:val="002A43B9"/>
    <w:rsid w:val="002A45DB"/>
    <w:rsid w:val="002B4405"/>
    <w:rsid w:val="002C0B49"/>
    <w:rsid w:val="002C5661"/>
    <w:rsid w:val="002D3071"/>
    <w:rsid w:val="002D5BFA"/>
    <w:rsid w:val="002F38E5"/>
    <w:rsid w:val="002F4708"/>
    <w:rsid w:val="002F4F7E"/>
    <w:rsid w:val="00310A08"/>
    <w:rsid w:val="00316132"/>
    <w:rsid w:val="003229D1"/>
    <w:rsid w:val="00336755"/>
    <w:rsid w:val="00373E38"/>
    <w:rsid w:val="003803E2"/>
    <w:rsid w:val="00386E06"/>
    <w:rsid w:val="00394C21"/>
    <w:rsid w:val="003D6368"/>
    <w:rsid w:val="003D79E6"/>
    <w:rsid w:val="00411059"/>
    <w:rsid w:val="00414F54"/>
    <w:rsid w:val="004316FE"/>
    <w:rsid w:val="00445441"/>
    <w:rsid w:val="00451416"/>
    <w:rsid w:val="004532A1"/>
    <w:rsid w:val="00456C2F"/>
    <w:rsid w:val="00456CCC"/>
    <w:rsid w:val="00465C2B"/>
    <w:rsid w:val="0047618B"/>
    <w:rsid w:val="00477780"/>
    <w:rsid w:val="004830A8"/>
    <w:rsid w:val="004A310C"/>
    <w:rsid w:val="004A5DD9"/>
    <w:rsid w:val="004A6626"/>
    <w:rsid w:val="004D28AE"/>
    <w:rsid w:val="004D3DF4"/>
    <w:rsid w:val="004E68A7"/>
    <w:rsid w:val="00540CB4"/>
    <w:rsid w:val="00543697"/>
    <w:rsid w:val="005543CF"/>
    <w:rsid w:val="0059666C"/>
    <w:rsid w:val="005A74E8"/>
    <w:rsid w:val="005B22A1"/>
    <w:rsid w:val="005D286F"/>
    <w:rsid w:val="005E53BA"/>
    <w:rsid w:val="0061318B"/>
    <w:rsid w:val="0062625C"/>
    <w:rsid w:val="006267AA"/>
    <w:rsid w:val="0063022C"/>
    <w:rsid w:val="00632C6C"/>
    <w:rsid w:val="00632EAB"/>
    <w:rsid w:val="00635C49"/>
    <w:rsid w:val="00646063"/>
    <w:rsid w:val="006811C3"/>
    <w:rsid w:val="006864FA"/>
    <w:rsid w:val="006A33B7"/>
    <w:rsid w:val="006C0464"/>
    <w:rsid w:val="006D018C"/>
    <w:rsid w:val="006D7126"/>
    <w:rsid w:val="00705CF4"/>
    <w:rsid w:val="007120D0"/>
    <w:rsid w:val="00716870"/>
    <w:rsid w:val="00733203"/>
    <w:rsid w:val="00734206"/>
    <w:rsid w:val="00746FD7"/>
    <w:rsid w:val="00750140"/>
    <w:rsid w:val="007613F4"/>
    <w:rsid w:val="0077386A"/>
    <w:rsid w:val="00786970"/>
    <w:rsid w:val="007976EE"/>
    <w:rsid w:val="007C0E2B"/>
    <w:rsid w:val="007E05E0"/>
    <w:rsid w:val="007E584F"/>
    <w:rsid w:val="008117E3"/>
    <w:rsid w:val="008120B2"/>
    <w:rsid w:val="00813149"/>
    <w:rsid w:val="00813F38"/>
    <w:rsid w:val="008230C4"/>
    <w:rsid w:val="00843456"/>
    <w:rsid w:val="008479DD"/>
    <w:rsid w:val="008532E8"/>
    <w:rsid w:val="00863FA4"/>
    <w:rsid w:val="00866C25"/>
    <w:rsid w:val="008960A9"/>
    <w:rsid w:val="008C1346"/>
    <w:rsid w:val="008F150C"/>
    <w:rsid w:val="00904868"/>
    <w:rsid w:val="00905F3C"/>
    <w:rsid w:val="009178B6"/>
    <w:rsid w:val="009326A0"/>
    <w:rsid w:val="009327AE"/>
    <w:rsid w:val="00940507"/>
    <w:rsid w:val="009450FF"/>
    <w:rsid w:val="009568A9"/>
    <w:rsid w:val="0096025B"/>
    <w:rsid w:val="00961B97"/>
    <w:rsid w:val="009658B3"/>
    <w:rsid w:val="009707A5"/>
    <w:rsid w:val="00970AC4"/>
    <w:rsid w:val="00985D22"/>
    <w:rsid w:val="009A259C"/>
    <w:rsid w:val="009B0046"/>
    <w:rsid w:val="009B7464"/>
    <w:rsid w:val="009D2D1D"/>
    <w:rsid w:val="009D48B4"/>
    <w:rsid w:val="00A45F68"/>
    <w:rsid w:val="00A47D68"/>
    <w:rsid w:val="00A54163"/>
    <w:rsid w:val="00A757AD"/>
    <w:rsid w:val="00A93E78"/>
    <w:rsid w:val="00A97899"/>
    <w:rsid w:val="00AB4586"/>
    <w:rsid w:val="00AC648C"/>
    <w:rsid w:val="00AD2A49"/>
    <w:rsid w:val="00AF31DF"/>
    <w:rsid w:val="00AF6F54"/>
    <w:rsid w:val="00B02A38"/>
    <w:rsid w:val="00B133E2"/>
    <w:rsid w:val="00B3382E"/>
    <w:rsid w:val="00B41C13"/>
    <w:rsid w:val="00B71DA5"/>
    <w:rsid w:val="00B80C2B"/>
    <w:rsid w:val="00B8463E"/>
    <w:rsid w:val="00B94502"/>
    <w:rsid w:val="00BA7DFE"/>
    <w:rsid w:val="00BE23DB"/>
    <w:rsid w:val="00BE3E50"/>
    <w:rsid w:val="00C0265E"/>
    <w:rsid w:val="00C0610E"/>
    <w:rsid w:val="00C216F6"/>
    <w:rsid w:val="00C22C82"/>
    <w:rsid w:val="00C60836"/>
    <w:rsid w:val="00C73C6E"/>
    <w:rsid w:val="00C775E4"/>
    <w:rsid w:val="00C878F3"/>
    <w:rsid w:val="00C92F16"/>
    <w:rsid w:val="00C9397F"/>
    <w:rsid w:val="00CA6188"/>
    <w:rsid w:val="00CB0B4F"/>
    <w:rsid w:val="00CD30C3"/>
    <w:rsid w:val="00CE3561"/>
    <w:rsid w:val="00CE6A91"/>
    <w:rsid w:val="00D02641"/>
    <w:rsid w:val="00D06AEE"/>
    <w:rsid w:val="00D201E0"/>
    <w:rsid w:val="00D23D3B"/>
    <w:rsid w:val="00D33F1C"/>
    <w:rsid w:val="00D474F0"/>
    <w:rsid w:val="00D74E7F"/>
    <w:rsid w:val="00D85D47"/>
    <w:rsid w:val="00DA13FF"/>
    <w:rsid w:val="00DB58B4"/>
    <w:rsid w:val="00DC3E7B"/>
    <w:rsid w:val="00DD0D0C"/>
    <w:rsid w:val="00DD3D0B"/>
    <w:rsid w:val="00DE21D9"/>
    <w:rsid w:val="00E13B63"/>
    <w:rsid w:val="00E146AD"/>
    <w:rsid w:val="00E17D7D"/>
    <w:rsid w:val="00E27932"/>
    <w:rsid w:val="00E27DEB"/>
    <w:rsid w:val="00E30007"/>
    <w:rsid w:val="00E46109"/>
    <w:rsid w:val="00E624E1"/>
    <w:rsid w:val="00E67B13"/>
    <w:rsid w:val="00E800C6"/>
    <w:rsid w:val="00E808FE"/>
    <w:rsid w:val="00E91009"/>
    <w:rsid w:val="00E9313A"/>
    <w:rsid w:val="00E94B7C"/>
    <w:rsid w:val="00E964F9"/>
    <w:rsid w:val="00E968C0"/>
    <w:rsid w:val="00EA0AE5"/>
    <w:rsid w:val="00EC690C"/>
    <w:rsid w:val="00ED6A6B"/>
    <w:rsid w:val="00EE67EC"/>
    <w:rsid w:val="00EF38CD"/>
    <w:rsid w:val="00F262E4"/>
    <w:rsid w:val="00F4067F"/>
    <w:rsid w:val="00F50602"/>
    <w:rsid w:val="00F65A4E"/>
    <w:rsid w:val="00F76E36"/>
    <w:rsid w:val="00F91433"/>
    <w:rsid w:val="00F94B2A"/>
    <w:rsid w:val="00F97EE4"/>
    <w:rsid w:val="00FB3A98"/>
    <w:rsid w:val="00FD4AF0"/>
    <w:rsid w:val="00FE086F"/>
    <w:rsid w:val="00FE3B57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6021"/>
  <w15:chartTrackingRefBased/>
  <w15:docId w15:val="{D2C9C837-0A80-4C4A-BA90-5EF5F1C2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0B2"/>
    <w:pPr>
      <w:keepNext/>
      <w:keepLines/>
      <w:spacing w:before="240" w:after="0" w:line="276" w:lineRule="auto"/>
      <w:jc w:val="center"/>
      <w:outlineLvl w:val="0"/>
    </w:pPr>
    <w:rPr>
      <w:rFonts w:ascii="Times New Roman" w:eastAsia="Calibri" w:hAnsi="Times New Roman" w:cs="Times New Roman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602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="Times New Roman"/>
      <w:color w:val="2E74B5" w:themeColor="accent1" w:themeShade="BF"/>
      <w:sz w:val="30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602"/>
    <w:pPr>
      <w:keepNext/>
      <w:keepLines/>
      <w:spacing w:before="40" w:after="0" w:line="276" w:lineRule="auto"/>
      <w:outlineLvl w:val="2"/>
    </w:pPr>
    <w:rPr>
      <w:rFonts w:ascii="Times New Roman" w:eastAsiaTheme="majorEastAsia" w:hAnsi="Times New Roman" w:cs="Times New Roman"/>
      <w:color w:val="1F4D78" w:themeColor="accent1" w:themeShade="7F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0602"/>
    <w:pPr>
      <w:keepNext/>
      <w:keepLines/>
      <w:spacing w:before="40" w:after="0"/>
      <w:outlineLvl w:val="3"/>
    </w:pPr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0B2"/>
    <w:rPr>
      <w:rFonts w:ascii="Times New Roman" w:eastAsia="Calibri" w:hAnsi="Times New Roman" w:cs="Times New Roman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0602"/>
    <w:rPr>
      <w:rFonts w:ascii="Times New Roman" w:eastAsiaTheme="majorEastAsia" w:hAnsi="Times New Roman" w:cs="Times New Roman"/>
      <w:color w:val="2E74B5" w:themeColor="accent1" w:themeShade="BF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50602"/>
    <w:rPr>
      <w:rFonts w:ascii="Times New Roman" w:eastAsiaTheme="majorEastAsia" w:hAnsi="Times New Roman" w:cs="Times New Roman"/>
      <w:color w:val="1F4D78" w:themeColor="accent1" w:themeShade="7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85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9D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479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51">
    <w:name w:val="Plain Table 51"/>
    <w:basedOn w:val="TableNormal"/>
    <w:uiPriority w:val="45"/>
    <w:rsid w:val="009602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D712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4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4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48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50602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57"/>
  </w:style>
  <w:style w:type="paragraph" w:styleId="Footer">
    <w:name w:val="footer"/>
    <w:basedOn w:val="Normal"/>
    <w:link w:val="FooterChar"/>
    <w:uiPriority w:val="99"/>
    <w:unhideWhenUsed/>
    <w:rsid w:val="00FE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57"/>
  </w:style>
  <w:style w:type="paragraph" w:styleId="Revision">
    <w:name w:val="Revision"/>
    <w:hidden/>
    <w:uiPriority w:val="99"/>
    <w:semiHidden/>
    <w:rsid w:val="00FE3B5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821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21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2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ctadstat.unctad.org/wds/ReportFolders/reportFolders.aspx?sCS_Chosen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2D3C-8804-44A8-8680-FE30CAF4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2679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Kamenica</dc:creator>
  <cp:keywords/>
  <dc:description/>
  <cp:lastModifiedBy>Vedran Milisav</cp:lastModifiedBy>
  <cp:revision>12</cp:revision>
  <dcterms:created xsi:type="dcterms:W3CDTF">2023-10-19T09:08:00Z</dcterms:created>
  <dcterms:modified xsi:type="dcterms:W3CDTF">2023-11-03T09:31:00Z</dcterms:modified>
</cp:coreProperties>
</file>