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F1ED" w14:textId="3D0B6F1B" w:rsidR="00EE4BFE" w:rsidRDefault="00084BDD">
      <w:pPr>
        <w:spacing w:before="120" w:after="120" w:line="240" w:lineRule="auto"/>
        <w:jc w:val="both"/>
      </w:pPr>
      <w:r w:rsidRPr="00084BDD">
        <w:t>На основу релевантних чланова Меморандума о принципима координације банкарске супервизије и сарадњи и размјени података и информација потписаног између Централне банке Босне и Херцеговине, бр. 01-897/08 од 16. 06. 2008. године, Агенције за банкарство Федерације Босне и Херцеговине, бр. 01-2-1170/08 од 16. 06. 2008. године, и Агенције за банкарство Републике Српске, бр. 01-691/08 од 13. 06. 2008. године, а у вези са закључком ад 4. с другог састанка координације банкарске супервизије одржаног 29. јуна 2023. године, Координација банкарске супервизије усваја</w:t>
      </w:r>
      <w:r w:rsidR="006C7731">
        <w:t>:</w:t>
      </w:r>
    </w:p>
    <w:p w14:paraId="795AF307" w14:textId="77777777" w:rsidR="00EE4BFE" w:rsidRDefault="00EE4BFE">
      <w:pPr>
        <w:spacing w:before="120" w:after="120" w:line="240" w:lineRule="auto"/>
        <w:jc w:val="both"/>
        <w:rPr>
          <w:strike/>
        </w:rPr>
      </w:pPr>
    </w:p>
    <w:p w14:paraId="312A3CE5" w14:textId="77777777" w:rsidR="00EE4BFE" w:rsidRDefault="00EE4BFE">
      <w:pPr>
        <w:spacing w:before="120" w:after="120" w:line="240" w:lineRule="auto"/>
        <w:contextualSpacing/>
        <w:jc w:val="center"/>
        <w:rPr>
          <w:sz w:val="28"/>
          <w:szCs w:val="28"/>
        </w:rPr>
      </w:pPr>
    </w:p>
    <w:p w14:paraId="3C6EDFA7" w14:textId="54E4BC2B" w:rsidR="00EE4BFE" w:rsidRPr="00655D96" w:rsidRDefault="00655D96">
      <w:pPr>
        <w:spacing w:before="120" w:after="120" w:line="240" w:lineRule="auto"/>
        <w:contextualSpacing/>
        <w:jc w:val="center"/>
        <w:rPr>
          <w:b/>
          <w:sz w:val="28"/>
          <w:szCs w:val="28"/>
          <w:lang w:val="sr-Cyrl-RS"/>
        </w:rPr>
      </w:pPr>
      <w:r>
        <w:rPr>
          <w:sz w:val="28"/>
          <w:szCs w:val="28"/>
          <w:lang w:val="sr-Cyrl-RS"/>
        </w:rPr>
        <w:t>„</w:t>
      </w:r>
      <w:r w:rsidR="00011515" w:rsidRPr="00011515">
        <w:rPr>
          <w:sz w:val="28"/>
          <w:szCs w:val="28"/>
        </w:rPr>
        <w:t>Методологију за обрачун референтне стопе просјечног пондерисаног трошка финансирања банака које послују у Босни и Херцеговини</w:t>
      </w:r>
      <w:r>
        <w:rPr>
          <w:sz w:val="28"/>
          <w:szCs w:val="28"/>
          <w:lang w:val="sr-Cyrl-RS"/>
        </w:rPr>
        <w:t>“</w:t>
      </w:r>
    </w:p>
    <w:p w14:paraId="0486E7EF" w14:textId="77777777" w:rsidR="00EE4BFE" w:rsidRDefault="00EE4BFE">
      <w:pPr>
        <w:spacing w:before="120" w:after="120" w:line="240" w:lineRule="auto"/>
        <w:contextualSpacing/>
      </w:pPr>
    </w:p>
    <w:p w14:paraId="467C5C45" w14:textId="77777777" w:rsidR="006C7731" w:rsidRDefault="006C7731">
      <w:pPr>
        <w:spacing w:before="120" w:after="120" w:line="240" w:lineRule="auto"/>
        <w:contextualSpacing/>
        <w:jc w:val="center"/>
        <w:rPr>
          <w:b/>
        </w:rPr>
      </w:pPr>
    </w:p>
    <w:p w14:paraId="2BEC8F7F" w14:textId="6837F003" w:rsidR="00EE4BFE" w:rsidRDefault="00011515">
      <w:pPr>
        <w:spacing w:before="120" w:after="120" w:line="240" w:lineRule="auto"/>
        <w:contextualSpacing/>
        <w:jc w:val="center"/>
        <w:rPr>
          <w:b/>
        </w:rPr>
      </w:pPr>
      <w:r>
        <w:rPr>
          <w:b/>
        </w:rPr>
        <w:t>Члан</w:t>
      </w:r>
      <w:r w:rsidR="006C7731">
        <w:rPr>
          <w:b/>
        </w:rPr>
        <w:t xml:space="preserve"> 1</w:t>
      </w:r>
    </w:p>
    <w:p w14:paraId="2D49B91B" w14:textId="4CFB4EBD" w:rsidR="00EE4BFE" w:rsidRDefault="006C7731">
      <w:pPr>
        <w:spacing w:before="120" w:after="120" w:line="240" w:lineRule="auto"/>
        <w:contextualSpacing/>
        <w:jc w:val="center"/>
        <w:rPr>
          <w:b/>
        </w:rPr>
      </w:pPr>
      <w:r>
        <w:rPr>
          <w:b/>
        </w:rPr>
        <w:t>(</w:t>
      </w:r>
      <w:r w:rsidR="00011515">
        <w:rPr>
          <w:b/>
          <w:lang w:val="sr-Cyrl-RS"/>
        </w:rPr>
        <w:t>Увод</w:t>
      </w:r>
      <w:r>
        <w:rPr>
          <w:b/>
        </w:rPr>
        <w:t>)</w:t>
      </w:r>
    </w:p>
    <w:p w14:paraId="004EFC9B" w14:textId="77777777" w:rsidR="00EE4BFE" w:rsidRDefault="00EE4BFE">
      <w:pPr>
        <w:spacing w:before="120" w:after="120" w:line="240" w:lineRule="auto"/>
        <w:jc w:val="both"/>
      </w:pPr>
    </w:p>
    <w:p w14:paraId="713D77D5" w14:textId="523C9C68" w:rsidR="00EE4BFE" w:rsidRDefault="00011515">
      <w:pPr>
        <w:spacing w:before="120" w:after="120" w:line="240" w:lineRule="auto"/>
        <w:jc w:val="both"/>
      </w:pPr>
      <w:r w:rsidRPr="00011515">
        <w:t>Методологија за обрачун Референтне стопе просјечног пондерисаног трошка финансирања банака које послују у Босни и Херцеговини, развијена је од стране Координације банкарске супервизије, а настала је као резултат потребе да се усљед снажног раста референтних каматних стопа водећих централних банака, који је отпочео у 2022. години, сагледа динамика кретања каматних стопа на кредитне пласмане банака на домаћем тржишту,  у контексту стварних трошкова финансирања</w:t>
      </w:r>
      <w:r w:rsidR="006C7731">
        <w:t xml:space="preserve">. </w:t>
      </w:r>
      <w:r w:rsidR="004F6AE3" w:rsidRPr="004F6AE3">
        <w:t>Оцијењено је да би снажан раст каматних стопа на новоодобрене кредите, као и раније уговорене кредите с промјењивим каматним стопама, везаним претежно уз ЕУРИБОР – референтну стопу на европском тржишту новца, могао довести до снажног раста идиосинкратичног кредитног ризика и других ризика везаних уз раст каматних стопа у домаћем банкарском сектору</w:t>
      </w:r>
      <w:r w:rsidR="006C7731">
        <w:t xml:space="preserve">. </w:t>
      </w:r>
      <w:r w:rsidR="004F6AE3" w:rsidRPr="004F6AE3">
        <w:t>Истовремено, банке у БиХ се, тренутно, готово у потпуности ослањају на домаће изворе финансирања, који нису везани уз референтне каматне стопе с иностраног тржишта. Усклађивање активних каматних стопа с трошковима финансирања иностраног тржишта, у тренутним околностима, могло би довести до поремећаја на домаћем банкарском тржишту. С тим у вези, потребно је утврдити референтне вриједности на нивоу цјелокупног банкарског система, да би се смањили ризици по финансијску стабилност, побољшали услови функционисања унутрашњег тржишта, те осигурао виши ниво заштите корисника финансијских услуга и инвеститора</w:t>
      </w:r>
      <w:r w:rsidR="006C7731">
        <w:t xml:space="preserve">. </w:t>
      </w:r>
    </w:p>
    <w:p w14:paraId="5E2B290E" w14:textId="77777777" w:rsidR="006C7731" w:rsidRDefault="006C7731">
      <w:pPr>
        <w:spacing w:before="120" w:after="120" w:line="240" w:lineRule="auto"/>
        <w:contextualSpacing/>
        <w:jc w:val="center"/>
        <w:rPr>
          <w:b/>
        </w:rPr>
      </w:pPr>
    </w:p>
    <w:p w14:paraId="38D2DDEC" w14:textId="1A0C3541" w:rsidR="00EE4BFE" w:rsidRDefault="00011515">
      <w:pPr>
        <w:spacing w:before="120" w:after="120" w:line="240" w:lineRule="auto"/>
        <w:contextualSpacing/>
        <w:jc w:val="center"/>
        <w:rPr>
          <w:b/>
        </w:rPr>
      </w:pPr>
      <w:r>
        <w:rPr>
          <w:b/>
        </w:rPr>
        <w:t>Члан</w:t>
      </w:r>
      <w:r w:rsidR="006C7731">
        <w:rPr>
          <w:b/>
        </w:rPr>
        <w:t xml:space="preserve"> 2</w:t>
      </w:r>
    </w:p>
    <w:p w14:paraId="0C98666D" w14:textId="5CBA00BC" w:rsidR="00EE4BFE" w:rsidRDefault="006C7731">
      <w:pPr>
        <w:spacing w:before="120" w:after="120" w:line="240" w:lineRule="auto"/>
        <w:contextualSpacing/>
        <w:jc w:val="center"/>
        <w:rPr>
          <w:b/>
        </w:rPr>
      </w:pPr>
      <w:r>
        <w:rPr>
          <w:b/>
        </w:rPr>
        <w:t>(</w:t>
      </w:r>
      <w:r w:rsidR="00655D96">
        <w:rPr>
          <w:b/>
          <w:lang w:val="sr-Cyrl-RS"/>
        </w:rPr>
        <w:t>Пр</w:t>
      </w:r>
      <w:r w:rsidR="00A82736">
        <w:rPr>
          <w:b/>
          <w:lang w:val="sr-Cyrl-RS"/>
        </w:rPr>
        <w:t>е</w:t>
      </w:r>
      <w:r w:rsidR="00655D96">
        <w:rPr>
          <w:b/>
          <w:lang w:val="sr-Cyrl-RS"/>
        </w:rPr>
        <w:t>дмет</w:t>
      </w:r>
      <w:r>
        <w:rPr>
          <w:b/>
        </w:rPr>
        <w:t>)</w:t>
      </w:r>
    </w:p>
    <w:p w14:paraId="4D9E2635" w14:textId="77777777" w:rsidR="00EE4BFE" w:rsidRDefault="00EE4BFE">
      <w:pPr>
        <w:spacing w:after="160" w:line="240" w:lineRule="auto"/>
        <w:contextualSpacing/>
        <w:jc w:val="center"/>
        <w:rPr>
          <w:rFonts w:eastAsia="Calibri"/>
          <w:b/>
          <w:bCs/>
          <w:noProof/>
          <w:lang w:eastAsia="en-US"/>
        </w:rPr>
      </w:pPr>
    </w:p>
    <w:p w14:paraId="472CAB73" w14:textId="5B8C77F3" w:rsidR="00EE4BFE" w:rsidRDefault="00655D96">
      <w:pPr>
        <w:spacing w:after="160" w:line="240" w:lineRule="auto"/>
        <w:jc w:val="both"/>
        <w:rPr>
          <w:rFonts w:eastAsia="Calibri"/>
          <w:noProof/>
          <w:lang w:eastAsia="en-US"/>
        </w:rPr>
      </w:pPr>
      <w:r w:rsidRPr="00655D96">
        <w:rPr>
          <w:rFonts w:eastAsia="Calibri"/>
          <w:noProof/>
          <w:lang w:eastAsia="en-US"/>
        </w:rPr>
        <w:t xml:space="preserve">Овом </w:t>
      </w:r>
      <w:r>
        <w:rPr>
          <w:rFonts w:eastAsia="Calibri"/>
          <w:noProof/>
          <w:lang w:val="sr-Cyrl-RS" w:eastAsia="en-US"/>
        </w:rPr>
        <w:t>„</w:t>
      </w:r>
      <w:r w:rsidRPr="00655D96">
        <w:rPr>
          <w:rFonts w:eastAsia="Calibri"/>
          <w:noProof/>
          <w:lang w:eastAsia="en-US"/>
        </w:rPr>
        <w:t>Методологијом</w:t>
      </w:r>
      <w:r>
        <w:rPr>
          <w:rFonts w:eastAsia="Calibri"/>
          <w:noProof/>
          <w:lang w:val="sr-Cyrl-RS" w:eastAsia="en-US"/>
        </w:rPr>
        <w:t>“</w:t>
      </w:r>
      <w:r w:rsidRPr="00655D96">
        <w:rPr>
          <w:rFonts w:eastAsia="Calibri"/>
          <w:noProof/>
          <w:lang w:eastAsia="en-US"/>
        </w:rPr>
        <w:t xml:space="preserve"> утврђују се елементи за обрачун референтне стопе просјечног пондерисаног трошка финансирања банака (РСТФ) у Босни и Херцеговини</w:t>
      </w:r>
      <w:r w:rsidR="006C7731">
        <w:rPr>
          <w:rFonts w:eastAsia="Calibri"/>
          <w:noProof/>
          <w:lang w:eastAsia="en-US"/>
        </w:rPr>
        <w:t xml:space="preserve">. </w:t>
      </w:r>
    </w:p>
    <w:p w14:paraId="17BA3FB5" w14:textId="4A23BF36" w:rsidR="00EE4BFE" w:rsidRDefault="00655D96">
      <w:pPr>
        <w:spacing w:after="160" w:line="240" w:lineRule="auto"/>
        <w:jc w:val="both"/>
        <w:rPr>
          <w:rFonts w:eastAsia="Calibri"/>
          <w:noProof/>
          <w:lang w:eastAsia="en-US"/>
        </w:rPr>
      </w:pPr>
      <w:r>
        <w:rPr>
          <w:rFonts w:eastAsia="Calibri"/>
          <w:noProof/>
          <w:lang w:val="sr-Cyrl-RS" w:eastAsia="en-US"/>
        </w:rPr>
        <w:t>„</w:t>
      </w:r>
      <w:r w:rsidRPr="00655D96">
        <w:rPr>
          <w:rFonts w:eastAsia="Calibri"/>
          <w:noProof/>
          <w:lang w:eastAsia="en-US"/>
        </w:rPr>
        <w:t>Методологија</w:t>
      </w:r>
      <w:r>
        <w:rPr>
          <w:rFonts w:eastAsia="Calibri"/>
          <w:noProof/>
          <w:lang w:val="sr-Cyrl-RS" w:eastAsia="en-US"/>
        </w:rPr>
        <w:t>“</w:t>
      </w:r>
      <w:r w:rsidRPr="00655D96">
        <w:rPr>
          <w:rFonts w:eastAsia="Calibri"/>
          <w:noProof/>
          <w:lang w:eastAsia="en-US"/>
        </w:rPr>
        <w:t xml:space="preserve"> је прилагођена расположивости статистичких и регулаторних података које банке достављају надлежним агенцијама за банкарство, и специфичностима пословања банака у БиХ</w:t>
      </w:r>
      <w:r w:rsidR="006C7731">
        <w:rPr>
          <w:rFonts w:eastAsia="Calibri"/>
          <w:noProof/>
          <w:lang w:eastAsia="en-US"/>
        </w:rPr>
        <w:t>.</w:t>
      </w:r>
    </w:p>
    <w:p w14:paraId="5F2ACFEE" w14:textId="0B3A1603" w:rsidR="00EE4BFE" w:rsidRDefault="0028547C">
      <w:pPr>
        <w:spacing w:after="160" w:line="240" w:lineRule="auto"/>
        <w:jc w:val="both"/>
        <w:rPr>
          <w:rFonts w:eastAsia="Calibri"/>
          <w:bCs/>
          <w:noProof/>
          <w:lang w:eastAsia="en-US"/>
        </w:rPr>
      </w:pPr>
      <w:r w:rsidRPr="0028547C">
        <w:rPr>
          <w:rFonts w:eastAsia="Calibri"/>
          <w:noProof/>
          <w:lang w:eastAsia="en-US"/>
        </w:rPr>
        <w:t xml:space="preserve">Референтна стопа просјечног пондерисаног трошка финансирања банака (РСТФ) је стопа просјечних пондерисаних трошкова извора средстава банака у Босни и Херцеговини, с обзиром на период (3, 6 или 12 мјесеци), врсту извора и релевантну </w:t>
      </w:r>
      <w:r w:rsidRPr="0028547C">
        <w:rPr>
          <w:rFonts w:eastAsia="Calibri"/>
          <w:noProof/>
          <w:lang w:eastAsia="en-US"/>
        </w:rPr>
        <w:lastRenderedPageBreak/>
        <w:t>валуту (конвертибилну марку и евро). РСТФ се обрачунава у сврху подршке банкама приликом прилагођавања варијабилних компоненти цијена извора финансирања у финансијским уговорима. Циљ је да се банкама стави на располагање неколико референтних стопа, међу којима ће моћи изабрати релевантну за изабрани пословни модел, а истовремено, осигурати виши ниво заштите корисника финансијских услуга и инвеститора од арбитражних промјена у висини каматних стопа у постојећим уговорима с банкама</w:t>
      </w:r>
      <w:r w:rsidR="006C7731">
        <w:rPr>
          <w:rFonts w:eastAsia="Calibri"/>
          <w:noProof/>
          <w:lang w:eastAsia="en-US"/>
        </w:rPr>
        <w:t xml:space="preserve">. </w:t>
      </w:r>
    </w:p>
    <w:p w14:paraId="0877BAC0" w14:textId="77777777" w:rsidR="006C7731" w:rsidRDefault="006C7731" w:rsidP="006C7731">
      <w:pPr>
        <w:spacing w:after="160" w:line="240" w:lineRule="auto"/>
        <w:contextualSpacing/>
        <w:jc w:val="center"/>
        <w:rPr>
          <w:rFonts w:eastAsia="Calibri"/>
          <w:b/>
          <w:bCs/>
          <w:noProof/>
          <w:lang w:eastAsia="en-US"/>
        </w:rPr>
      </w:pPr>
    </w:p>
    <w:p w14:paraId="744410B1" w14:textId="4A7459DA" w:rsidR="00EE4BFE" w:rsidRDefault="00011515" w:rsidP="006C7731">
      <w:pPr>
        <w:spacing w:after="160" w:line="240" w:lineRule="auto"/>
        <w:contextualSpacing/>
        <w:jc w:val="center"/>
        <w:rPr>
          <w:rFonts w:eastAsia="Calibri"/>
          <w:b/>
          <w:bCs/>
          <w:noProof/>
          <w:lang w:eastAsia="en-US"/>
        </w:rPr>
      </w:pPr>
      <w:r>
        <w:rPr>
          <w:rFonts w:eastAsia="Calibri"/>
          <w:b/>
          <w:bCs/>
          <w:noProof/>
          <w:lang w:eastAsia="en-US"/>
        </w:rPr>
        <w:t>Члан</w:t>
      </w:r>
      <w:r w:rsidR="006C7731">
        <w:rPr>
          <w:rFonts w:eastAsia="Calibri"/>
          <w:b/>
          <w:bCs/>
          <w:noProof/>
          <w:lang w:eastAsia="en-US"/>
        </w:rPr>
        <w:t xml:space="preserve"> 3</w:t>
      </w:r>
    </w:p>
    <w:p w14:paraId="7241584C" w14:textId="4194DF8C" w:rsidR="00EE4BFE" w:rsidRDefault="006C7731">
      <w:pPr>
        <w:spacing w:after="160" w:line="240" w:lineRule="auto"/>
        <w:contextualSpacing/>
        <w:jc w:val="center"/>
        <w:rPr>
          <w:rFonts w:eastAsia="Calibri"/>
          <w:b/>
          <w:bCs/>
          <w:noProof/>
          <w:lang w:eastAsia="en-US"/>
        </w:rPr>
      </w:pPr>
      <w:r>
        <w:rPr>
          <w:rFonts w:eastAsia="Calibri"/>
          <w:b/>
          <w:bCs/>
          <w:noProof/>
          <w:lang w:eastAsia="en-US"/>
        </w:rPr>
        <w:t>(</w:t>
      </w:r>
      <w:r w:rsidR="0028547C">
        <w:rPr>
          <w:rFonts w:eastAsia="Calibri"/>
          <w:b/>
          <w:bCs/>
          <w:noProof/>
          <w:lang w:val="sr-Cyrl-RS" w:eastAsia="en-US"/>
        </w:rPr>
        <w:t>Скраћенице</w:t>
      </w:r>
      <w:r>
        <w:rPr>
          <w:rFonts w:eastAsia="Calibri"/>
          <w:b/>
          <w:bCs/>
          <w:noProof/>
          <w:lang w:eastAsia="en-US"/>
        </w:rPr>
        <w:t>)</w:t>
      </w:r>
    </w:p>
    <w:p w14:paraId="4FE56181" w14:textId="77777777" w:rsidR="00EE4BFE" w:rsidRDefault="00EE4BFE">
      <w:pPr>
        <w:spacing w:after="160" w:line="240" w:lineRule="auto"/>
        <w:contextualSpacing/>
        <w:rPr>
          <w:rFonts w:eastAsia="Calibri"/>
          <w:b/>
          <w:bCs/>
          <w:noProof/>
          <w:lang w:eastAsia="en-US"/>
        </w:rPr>
      </w:pPr>
    </w:p>
    <w:p w14:paraId="2DDA827B" w14:textId="3BBE118A" w:rsidR="00EE4BFE" w:rsidRPr="0028547C" w:rsidRDefault="0028547C">
      <w:pPr>
        <w:spacing w:after="160" w:line="240" w:lineRule="auto"/>
        <w:contextualSpacing/>
        <w:rPr>
          <w:rFonts w:eastAsia="Calibri"/>
          <w:bCs/>
          <w:noProof/>
          <w:lang w:val="sr-Cyrl-RS" w:eastAsia="en-US"/>
        </w:rPr>
      </w:pPr>
      <w:r>
        <w:rPr>
          <w:rFonts w:eastAsia="Calibri"/>
          <w:b/>
          <w:lang w:val="sr-Cyrl-RS"/>
        </w:rPr>
        <w:t>АБРС</w:t>
      </w:r>
      <w:r w:rsidR="006C7731">
        <w:rPr>
          <w:rFonts w:eastAsia="Calibri"/>
          <w:bCs/>
          <w:noProof/>
          <w:lang w:eastAsia="en-US"/>
        </w:rPr>
        <w:t xml:space="preserve"> - </w:t>
      </w:r>
      <w:r w:rsidRPr="0028547C">
        <w:rPr>
          <w:rFonts w:eastAsia="Calibri"/>
          <w:bCs/>
          <w:noProof/>
          <w:lang w:eastAsia="en-US"/>
        </w:rPr>
        <w:t>Агенција за банкарство Републике Српске</w:t>
      </w:r>
      <w:r>
        <w:rPr>
          <w:rFonts w:eastAsia="Calibri"/>
          <w:bCs/>
          <w:noProof/>
          <w:lang w:val="sr-Cyrl-RS" w:eastAsia="en-US"/>
        </w:rPr>
        <w:t>;</w:t>
      </w:r>
    </w:p>
    <w:p w14:paraId="32CC82C0" w14:textId="6B32A710" w:rsidR="00EE4BFE" w:rsidRPr="0028547C" w:rsidRDefault="0028547C">
      <w:pPr>
        <w:spacing w:after="160" w:line="240" w:lineRule="auto"/>
        <w:contextualSpacing/>
        <w:rPr>
          <w:rFonts w:eastAsia="Calibri"/>
          <w:bCs/>
          <w:noProof/>
          <w:lang w:val="sr-Cyrl-RS" w:eastAsia="en-US"/>
        </w:rPr>
      </w:pPr>
      <w:r>
        <w:rPr>
          <w:rFonts w:eastAsia="Calibri"/>
          <w:b/>
          <w:lang w:val="sr-Cyrl-RS"/>
        </w:rPr>
        <w:t>БиХ</w:t>
      </w:r>
      <w:r w:rsidR="006C7731">
        <w:rPr>
          <w:rFonts w:eastAsia="Calibri"/>
          <w:bCs/>
          <w:noProof/>
          <w:lang w:eastAsia="en-US"/>
        </w:rPr>
        <w:t xml:space="preserve"> - </w:t>
      </w:r>
      <w:r w:rsidRPr="0028547C">
        <w:rPr>
          <w:rFonts w:eastAsia="Calibri"/>
          <w:bCs/>
          <w:noProof/>
          <w:lang w:eastAsia="en-US"/>
        </w:rPr>
        <w:t>Босна и Херцеговина</w:t>
      </w:r>
      <w:r>
        <w:rPr>
          <w:rFonts w:eastAsia="Calibri"/>
          <w:bCs/>
          <w:noProof/>
          <w:lang w:val="sr-Cyrl-RS" w:eastAsia="en-US"/>
        </w:rPr>
        <w:t>;</w:t>
      </w:r>
    </w:p>
    <w:p w14:paraId="6AC0BFF6" w14:textId="1FA9B1CB" w:rsidR="00EE4BFE" w:rsidRPr="0028547C" w:rsidRDefault="0028547C">
      <w:pPr>
        <w:spacing w:after="160" w:line="240" w:lineRule="auto"/>
        <w:contextualSpacing/>
        <w:rPr>
          <w:rFonts w:eastAsia="Calibri"/>
          <w:bCs/>
          <w:noProof/>
          <w:lang w:val="sr-Cyrl-RS" w:eastAsia="en-US"/>
        </w:rPr>
      </w:pPr>
      <w:proofErr w:type="spellStart"/>
      <w:r>
        <w:rPr>
          <w:rFonts w:eastAsia="Calibri"/>
          <w:b/>
          <w:lang w:val="sr-Cyrl-RS"/>
        </w:rPr>
        <w:t>ЦББиХ</w:t>
      </w:r>
      <w:proofErr w:type="spellEnd"/>
      <w:r w:rsidR="006C7731">
        <w:rPr>
          <w:rFonts w:eastAsia="Calibri"/>
          <w:bCs/>
          <w:noProof/>
          <w:lang w:eastAsia="en-US"/>
        </w:rPr>
        <w:t xml:space="preserve"> - </w:t>
      </w:r>
      <w:r w:rsidRPr="0028547C">
        <w:rPr>
          <w:rFonts w:eastAsia="Calibri"/>
          <w:bCs/>
          <w:noProof/>
          <w:lang w:eastAsia="en-US"/>
        </w:rPr>
        <w:t>Централна банка Босне и Херцеговине</w:t>
      </w:r>
      <w:r>
        <w:rPr>
          <w:rFonts w:eastAsia="Calibri"/>
          <w:bCs/>
          <w:noProof/>
          <w:lang w:val="sr-Cyrl-RS" w:eastAsia="en-US"/>
        </w:rPr>
        <w:t>;</w:t>
      </w:r>
    </w:p>
    <w:p w14:paraId="7F9133C1" w14:textId="1AB40F9F" w:rsidR="00EE4BFE" w:rsidRPr="0028547C" w:rsidRDefault="0028547C">
      <w:pPr>
        <w:spacing w:after="160" w:line="240" w:lineRule="auto"/>
        <w:contextualSpacing/>
        <w:rPr>
          <w:rFonts w:eastAsia="Calibri"/>
          <w:bCs/>
          <w:noProof/>
          <w:lang w:val="sr-Cyrl-RS" w:eastAsia="en-US"/>
        </w:rPr>
      </w:pPr>
      <w:r>
        <w:rPr>
          <w:rFonts w:eastAsia="Calibri"/>
          <w:b/>
          <w:lang w:val="sr-Cyrl-RS"/>
        </w:rPr>
        <w:t>ФБА</w:t>
      </w:r>
      <w:r w:rsidR="006C7731">
        <w:rPr>
          <w:rFonts w:eastAsia="Calibri"/>
          <w:bCs/>
          <w:noProof/>
          <w:lang w:eastAsia="en-US"/>
        </w:rPr>
        <w:t xml:space="preserve"> - </w:t>
      </w:r>
      <w:r w:rsidRPr="0028547C">
        <w:rPr>
          <w:rFonts w:eastAsia="Calibri"/>
          <w:bCs/>
          <w:noProof/>
          <w:lang w:eastAsia="en-US"/>
        </w:rPr>
        <w:t>Агенција за банкарство Федерације Босне и Херцеговине</w:t>
      </w:r>
      <w:r>
        <w:rPr>
          <w:rFonts w:eastAsia="Calibri"/>
          <w:bCs/>
          <w:noProof/>
          <w:lang w:val="sr-Cyrl-RS" w:eastAsia="en-US"/>
        </w:rPr>
        <w:t>;</w:t>
      </w:r>
    </w:p>
    <w:p w14:paraId="007B68D4" w14:textId="159C10A3" w:rsidR="00EE4BFE" w:rsidRPr="0028547C" w:rsidRDefault="0028547C">
      <w:pPr>
        <w:spacing w:after="160" w:line="240" w:lineRule="auto"/>
        <w:contextualSpacing/>
        <w:rPr>
          <w:rFonts w:eastAsia="Calibri"/>
          <w:bCs/>
          <w:noProof/>
          <w:lang w:val="sr-Cyrl-RS" w:eastAsia="en-US"/>
        </w:rPr>
      </w:pPr>
      <w:r w:rsidRPr="0028547C">
        <w:rPr>
          <w:rFonts w:eastAsia="Calibri"/>
          <w:b/>
        </w:rPr>
        <w:t>Методологија</w:t>
      </w:r>
      <w:r w:rsidR="006C7731">
        <w:rPr>
          <w:rFonts w:eastAsia="Calibri"/>
          <w:bCs/>
          <w:noProof/>
          <w:lang w:eastAsia="en-US"/>
        </w:rPr>
        <w:t xml:space="preserve"> - </w:t>
      </w:r>
      <w:r w:rsidRPr="0028547C">
        <w:rPr>
          <w:rFonts w:eastAsia="Calibri"/>
          <w:bCs/>
          <w:noProof/>
          <w:lang w:eastAsia="en-US"/>
        </w:rPr>
        <w:t>Методологија за обрачун референтне стопе просјечног пондерисаног трошка финансирања банака</w:t>
      </w:r>
      <w:r>
        <w:rPr>
          <w:rFonts w:eastAsia="Calibri"/>
          <w:bCs/>
          <w:noProof/>
          <w:lang w:val="sr-Cyrl-RS" w:eastAsia="en-US"/>
        </w:rPr>
        <w:t>;</w:t>
      </w:r>
    </w:p>
    <w:p w14:paraId="19714E48" w14:textId="7649274F" w:rsidR="00EE4BFE" w:rsidRPr="0028547C" w:rsidRDefault="0028547C">
      <w:pPr>
        <w:spacing w:after="160" w:line="240" w:lineRule="auto"/>
        <w:contextualSpacing/>
        <w:rPr>
          <w:rFonts w:eastAsia="Calibri"/>
          <w:bCs/>
          <w:noProof/>
          <w:lang w:val="sr-Cyrl-RS" w:eastAsia="en-US"/>
        </w:rPr>
      </w:pPr>
      <w:r>
        <w:rPr>
          <w:rFonts w:eastAsia="Calibri"/>
          <w:b/>
          <w:bCs/>
          <w:noProof/>
          <w:lang w:val="sr-Cyrl-RS" w:eastAsia="en-US"/>
        </w:rPr>
        <w:t>РСТФ</w:t>
      </w:r>
      <w:r w:rsidR="006C7731">
        <w:rPr>
          <w:rFonts w:eastAsia="Calibri"/>
          <w:bCs/>
          <w:noProof/>
          <w:lang w:eastAsia="en-US"/>
        </w:rPr>
        <w:t xml:space="preserve"> - </w:t>
      </w:r>
      <w:r w:rsidRPr="0028547C">
        <w:rPr>
          <w:rFonts w:eastAsia="Calibri"/>
          <w:bCs/>
          <w:noProof/>
          <w:lang w:eastAsia="en-US"/>
        </w:rPr>
        <w:t>Референтна стопа просјечног пондерисаног трошка финансирања банака</w:t>
      </w:r>
      <w:r>
        <w:rPr>
          <w:rFonts w:eastAsia="Calibri"/>
          <w:bCs/>
          <w:noProof/>
          <w:lang w:val="sr-Cyrl-RS" w:eastAsia="en-US"/>
        </w:rPr>
        <w:t>.</w:t>
      </w:r>
    </w:p>
    <w:p w14:paraId="2AD4DBA7" w14:textId="77777777" w:rsidR="00EE4BFE" w:rsidRDefault="00EE4BFE">
      <w:pPr>
        <w:spacing w:after="160" w:line="240" w:lineRule="auto"/>
        <w:contextualSpacing/>
        <w:rPr>
          <w:rFonts w:eastAsia="Calibri"/>
          <w:bCs/>
          <w:noProof/>
          <w:lang w:eastAsia="en-US"/>
        </w:rPr>
      </w:pPr>
    </w:p>
    <w:p w14:paraId="42FB5D30" w14:textId="77777777" w:rsidR="006C7731" w:rsidRDefault="006C7731">
      <w:pPr>
        <w:spacing w:after="160" w:line="240" w:lineRule="auto"/>
        <w:contextualSpacing/>
        <w:jc w:val="center"/>
        <w:rPr>
          <w:rFonts w:eastAsia="Calibri"/>
          <w:b/>
          <w:bCs/>
          <w:noProof/>
          <w:lang w:eastAsia="en-US"/>
        </w:rPr>
      </w:pPr>
    </w:p>
    <w:p w14:paraId="4032CF85" w14:textId="7FB78DAD" w:rsidR="00EE4BFE" w:rsidRDefault="00011515">
      <w:pPr>
        <w:spacing w:after="160" w:line="240" w:lineRule="auto"/>
        <w:contextualSpacing/>
        <w:jc w:val="center"/>
        <w:rPr>
          <w:rFonts w:eastAsia="Calibri"/>
          <w:b/>
          <w:bCs/>
          <w:noProof/>
          <w:lang w:eastAsia="en-US"/>
        </w:rPr>
      </w:pPr>
      <w:r>
        <w:rPr>
          <w:rFonts w:eastAsia="Calibri"/>
          <w:b/>
          <w:bCs/>
          <w:noProof/>
          <w:lang w:eastAsia="en-US"/>
        </w:rPr>
        <w:t>Члан</w:t>
      </w:r>
      <w:r w:rsidR="006C7731">
        <w:rPr>
          <w:rFonts w:eastAsia="Calibri"/>
          <w:b/>
          <w:bCs/>
          <w:noProof/>
          <w:lang w:eastAsia="en-US"/>
        </w:rPr>
        <w:t xml:space="preserve"> 4</w:t>
      </w:r>
    </w:p>
    <w:p w14:paraId="784FF1A3" w14:textId="58D9013A" w:rsidR="00EE4BFE" w:rsidRDefault="006C7731">
      <w:pPr>
        <w:spacing w:after="160" w:line="240" w:lineRule="auto"/>
        <w:contextualSpacing/>
        <w:jc w:val="center"/>
        <w:rPr>
          <w:rFonts w:eastAsia="Calibri"/>
          <w:b/>
          <w:bCs/>
          <w:noProof/>
          <w:lang w:eastAsia="en-US"/>
        </w:rPr>
      </w:pPr>
      <w:r>
        <w:rPr>
          <w:rFonts w:eastAsia="Calibri"/>
          <w:b/>
          <w:bCs/>
          <w:noProof/>
          <w:lang w:eastAsia="en-US"/>
        </w:rPr>
        <w:t>(</w:t>
      </w:r>
      <w:r w:rsidR="0028547C" w:rsidRPr="0028547C">
        <w:rPr>
          <w:rFonts w:eastAsia="Calibri"/>
          <w:b/>
          <w:bCs/>
          <w:noProof/>
          <w:lang w:eastAsia="en-US"/>
        </w:rPr>
        <w:t>Тип и обухват РСТФ</w:t>
      </w:r>
      <w:r w:rsidR="00F64A1D">
        <w:rPr>
          <w:rFonts w:eastAsia="Calibri"/>
          <w:b/>
          <w:bCs/>
          <w:noProof/>
          <w:lang w:val="sr-Cyrl-RS" w:eastAsia="en-US"/>
        </w:rPr>
        <w:t>-а</w:t>
      </w:r>
      <w:r>
        <w:rPr>
          <w:rFonts w:eastAsia="Calibri"/>
          <w:b/>
          <w:bCs/>
          <w:noProof/>
          <w:lang w:eastAsia="en-US"/>
        </w:rPr>
        <w:t>)</w:t>
      </w:r>
    </w:p>
    <w:p w14:paraId="2DF5EFA1" w14:textId="77777777" w:rsidR="00EE4BFE" w:rsidRDefault="00EE4BFE">
      <w:pPr>
        <w:spacing w:after="160" w:line="240" w:lineRule="auto"/>
        <w:contextualSpacing/>
        <w:jc w:val="center"/>
        <w:rPr>
          <w:rFonts w:eastAsia="Calibri"/>
          <w:b/>
          <w:bCs/>
          <w:noProof/>
          <w:lang w:eastAsia="en-US"/>
        </w:rPr>
      </w:pPr>
    </w:p>
    <w:p w14:paraId="4EF6BF3D" w14:textId="73B8707D" w:rsidR="00EE4BFE" w:rsidRDefault="00F64A1D">
      <w:pPr>
        <w:spacing w:after="160" w:line="240" w:lineRule="auto"/>
        <w:jc w:val="both"/>
        <w:rPr>
          <w:rFonts w:eastAsia="Calibri"/>
          <w:noProof/>
          <w:lang w:eastAsia="en-US"/>
        </w:rPr>
      </w:pPr>
      <w:r w:rsidRPr="00F64A1D">
        <w:rPr>
          <w:rFonts w:eastAsia="Calibri"/>
          <w:noProof/>
          <w:lang w:eastAsia="en-US"/>
        </w:rPr>
        <w:t>Према обухвату извора средстава, разликују се три врсте РСТФ-а</w:t>
      </w:r>
      <w:r w:rsidR="006C7731">
        <w:rPr>
          <w:rFonts w:eastAsia="Calibri"/>
          <w:noProof/>
          <w:lang w:eastAsia="en-US"/>
        </w:rPr>
        <w:t>:</w:t>
      </w:r>
    </w:p>
    <w:p w14:paraId="6B137980" w14:textId="399498D3" w:rsidR="00EE4BFE" w:rsidRDefault="00F64A1D">
      <w:pPr>
        <w:numPr>
          <w:ilvl w:val="0"/>
          <w:numId w:val="24"/>
        </w:numPr>
        <w:spacing w:after="160" w:line="240" w:lineRule="auto"/>
        <w:ind w:left="284" w:hanging="284"/>
        <w:contextualSpacing/>
        <w:jc w:val="both"/>
        <w:rPr>
          <w:rFonts w:eastAsia="Calibri"/>
          <w:noProof/>
          <w:lang w:eastAsia="en-US"/>
        </w:rPr>
      </w:pPr>
      <w:r>
        <w:rPr>
          <w:rFonts w:eastAsia="Calibri"/>
          <w:noProof/>
          <w:lang w:val="sr-Cyrl-RS" w:eastAsia="en-US"/>
        </w:rPr>
        <w:t>РСТФ</w:t>
      </w:r>
      <w:r w:rsidRPr="00F64A1D">
        <w:rPr>
          <w:rFonts w:eastAsia="Calibri"/>
          <w:noProof/>
          <w:lang w:eastAsia="en-US"/>
        </w:rPr>
        <w:t>1</w:t>
      </w:r>
      <w:r w:rsidR="006C7731">
        <w:rPr>
          <w:rFonts w:eastAsia="Calibri"/>
          <w:noProof/>
          <w:lang w:eastAsia="en-US"/>
        </w:rPr>
        <w:t xml:space="preserve"> - </w:t>
      </w:r>
      <w:bookmarkStart w:id="0" w:name="_Hlk132881010"/>
      <w:r w:rsidRPr="00F64A1D">
        <w:rPr>
          <w:rFonts w:eastAsia="Calibri"/>
          <w:noProof/>
          <w:lang w:eastAsia="en-US"/>
        </w:rPr>
        <w:t>за изворе средстава примљене од становништва (</w:t>
      </w:r>
      <w:r w:rsidR="00772FCE">
        <w:rPr>
          <w:rFonts w:eastAsia="Calibri"/>
          <w:noProof/>
          <w:lang w:val="sr-Cyrl-RS" w:eastAsia="en-US"/>
        </w:rPr>
        <w:t>об</w:t>
      </w:r>
      <w:r w:rsidRPr="00F64A1D">
        <w:rPr>
          <w:rFonts w:eastAsia="Calibri"/>
          <w:noProof/>
          <w:lang w:eastAsia="en-US"/>
        </w:rPr>
        <w:t>рачунава се за валуте конвертибилна марка и е</w:t>
      </w:r>
      <w:r>
        <w:rPr>
          <w:rFonts w:eastAsia="Calibri"/>
          <w:noProof/>
          <w:lang w:val="sr-Cyrl-RS" w:eastAsia="en-US"/>
        </w:rPr>
        <w:t>в</w:t>
      </w:r>
      <w:r w:rsidRPr="00F64A1D">
        <w:rPr>
          <w:rFonts w:eastAsia="Calibri"/>
          <w:noProof/>
          <w:lang w:eastAsia="en-US"/>
        </w:rPr>
        <w:t>ро</w:t>
      </w:r>
      <w:r w:rsidR="006C7731">
        <w:rPr>
          <w:rFonts w:eastAsia="Calibri"/>
          <w:noProof/>
          <w:lang w:eastAsia="en-US"/>
        </w:rPr>
        <w:t>)</w:t>
      </w:r>
      <w:r>
        <w:rPr>
          <w:rFonts w:eastAsia="Calibri"/>
          <w:noProof/>
          <w:lang w:val="sr-Cyrl-RS" w:eastAsia="en-US"/>
        </w:rPr>
        <w:t>;</w:t>
      </w:r>
      <w:r w:rsidR="006C7731">
        <w:rPr>
          <w:rFonts w:eastAsia="Calibri"/>
          <w:noProof/>
          <w:lang w:eastAsia="en-US"/>
        </w:rPr>
        <w:t xml:space="preserve"> </w:t>
      </w:r>
    </w:p>
    <w:bookmarkEnd w:id="0"/>
    <w:p w14:paraId="65290461" w14:textId="029631BB" w:rsidR="00EE4BFE" w:rsidRDefault="00F64A1D">
      <w:pPr>
        <w:numPr>
          <w:ilvl w:val="0"/>
          <w:numId w:val="24"/>
        </w:numPr>
        <w:spacing w:after="160" w:line="240" w:lineRule="auto"/>
        <w:ind w:left="284" w:hanging="284"/>
        <w:contextualSpacing/>
        <w:jc w:val="both"/>
        <w:rPr>
          <w:rFonts w:eastAsia="Calibri"/>
          <w:noProof/>
          <w:lang w:eastAsia="en-US"/>
        </w:rPr>
      </w:pPr>
      <w:r>
        <w:rPr>
          <w:rFonts w:eastAsia="Calibri"/>
          <w:noProof/>
          <w:lang w:val="sr-Cyrl-RS" w:eastAsia="en-US"/>
        </w:rPr>
        <w:t>РСТФ2</w:t>
      </w:r>
      <w:r>
        <w:rPr>
          <w:rFonts w:eastAsia="Calibri"/>
          <w:noProof/>
          <w:lang w:eastAsia="en-US"/>
        </w:rPr>
        <w:t xml:space="preserve"> </w:t>
      </w:r>
      <w:r w:rsidR="006C7731">
        <w:rPr>
          <w:rFonts w:eastAsia="Calibri"/>
          <w:noProof/>
          <w:lang w:eastAsia="en-US"/>
        </w:rPr>
        <w:t xml:space="preserve">- </w:t>
      </w:r>
      <w:r w:rsidRPr="00F64A1D">
        <w:rPr>
          <w:rFonts w:eastAsia="Calibri"/>
          <w:noProof/>
          <w:lang w:eastAsia="en-US"/>
        </w:rPr>
        <w:t>за изворе средстава примљене од становништва и нефинансијских друштава (</w:t>
      </w:r>
      <w:r w:rsidR="00772FCE">
        <w:rPr>
          <w:rFonts w:eastAsia="Calibri"/>
          <w:noProof/>
          <w:lang w:val="sr-Cyrl-RS" w:eastAsia="en-US"/>
        </w:rPr>
        <w:t>об</w:t>
      </w:r>
      <w:r w:rsidRPr="00F64A1D">
        <w:rPr>
          <w:rFonts w:eastAsia="Calibri"/>
          <w:noProof/>
          <w:lang w:eastAsia="en-US"/>
        </w:rPr>
        <w:t>рачунава се за валуте конвертибилна марка и евро);</w:t>
      </w:r>
      <w:r w:rsidR="006C7731">
        <w:rPr>
          <w:rFonts w:eastAsia="Calibri"/>
          <w:noProof/>
          <w:lang w:eastAsia="en-US"/>
        </w:rPr>
        <w:t xml:space="preserve"> </w:t>
      </w:r>
    </w:p>
    <w:p w14:paraId="7199F831" w14:textId="56D558EF" w:rsidR="00EE4BFE" w:rsidRDefault="00F64A1D">
      <w:pPr>
        <w:numPr>
          <w:ilvl w:val="0"/>
          <w:numId w:val="24"/>
        </w:numPr>
        <w:spacing w:after="160" w:line="259" w:lineRule="auto"/>
        <w:ind w:left="284" w:hanging="284"/>
        <w:jc w:val="both"/>
        <w:rPr>
          <w:rFonts w:eastAsia="Calibri"/>
          <w:noProof/>
          <w:lang w:eastAsia="en-US"/>
        </w:rPr>
      </w:pPr>
      <w:r>
        <w:rPr>
          <w:rFonts w:eastAsia="Calibri"/>
          <w:noProof/>
          <w:lang w:val="sr-Cyrl-RS" w:eastAsia="en-US"/>
        </w:rPr>
        <w:t>РСТФ3</w:t>
      </w:r>
      <w:r>
        <w:rPr>
          <w:rFonts w:eastAsia="Calibri"/>
          <w:noProof/>
          <w:lang w:eastAsia="en-US"/>
        </w:rPr>
        <w:t xml:space="preserve"> </w:t>
      </w:r>
      <w:r w:rsidR="006C7731">
        <w:rPr>
          <w:rFonts w:eastAsia="Calibri"/>
          <w:noProof/>
          <w:lang w:eastAsia="en-US"/>
        </w:rPr>
        <w:t xml:space="preserve">- </w:t>
      </w:r>
      <w:bookmarkStart w:id="1" w:name="_Hlk132883422"/>
      <w:r w:rsidRPr="00F64A1D">
        <w:rPr>
          <w:rFonts w:eastAsia="Calibri"/>
          <w:noProof/>
          <w:lang w:eastAsia="en-US"/>
        </w:rPr>
        <w:t>за све изворе средстава примљене од становништва, нефинансијских друштава и финансијских институција</w:t>
      </w:r>
      <w:r w:rsidR="006C7731">
        <w:rPr>
          <w:rFonts w:eastAsia="Calibri"/>
          <w:noProof/>
          <w:lang w:eastAsia="en-US"/>
        </w:rPr>
        <w:t xml:space="preserve"> </w:t>
      </w:r>
      <w:bookmarkEnd w:id="1"/>
      <w:r w:rsidR="006C7731">
        <w:rPr>
          <w:rFonts w:eastAsia="Calibri"/>
          <w:noProof/>
          <w:lang w:eastAsia="en-US"/>
        </w:rPr>
        <w:t>(</w:t>
      </w:r>
      <w:r w:rsidR="00772FCE">
        <w:rPr>
          <w:rFonts w:eastAsia="Calibri"/>
          <w:noProof/>
          <w:lang w:val="sr-Cyrl-RS" w:eastAsia="en-US"/>
        </w:rPr>
        <w:t>об</w:t>
      </w:r>
      <w:r w:rsidRPr="00F64A1D">
        <w:rPr>
          <w:rFonts w:eastAsia="Calibri"/>
          <w:noProof/>
          <w:lang w:eastAsia="en-US"/>
        </w:rPr>
        <w:t>рачунава се за валуте конвертибилна марка и евро</w:t>
      </w:r>
      <w:r w:rsidR="006C7731">
        <w:rPr>
          <w:rFonts w:eastAsia="Calibri"/>
          <w:noProof/>
          <w:lang w:eastAsia="en-US"/>
        </w:rPr>
        <w:t>).</w:t>
      </w:r>
    </w:p>
    <w:p w14:paraId="3AD372C7" w14:textId="4615326A" w:rsidR="00EE4BFE" w:rsidRDefault="00F64A1D">
      <w:pPr>
        <w:spacing w:after="160" w:line="259" w:lineRule="auto"/>
        <w:jc w:val="both"/>
        <w:rPr>
          <w:rFonts w:eastAsia="Calibri"/>
          <w:noProof/>
          <w:lang w:eastAsia="en-US"/>
        </w:rPr>
      </w:pPr>
      <w:r w:rsidRPr="00F64A1D">
        <w:rPr>
          <w:rFonts w:eastAsia="Calibri"/>
          <w:noProof/>
          <w:lang w:eastAsia="en-US"/>
        </w:rPr>
        <w:t>Све банке које послују у Босни и Херцеговини су обухваћене у обрачуну РСТФ-а. Ради смањења ризика од асиметричних рјешења примјењивих за банке из јурисдикције ентитетских агенција за банкарство, посебно имајући у виду случајеве регистровања сједишта банака из исте групације у оба ентитета, рачуна се јединствена РСТФ за све банке, на сличан начин као и пракса објаве просјечне пондерисане каматне стопе на новоодобрене кредите, или нове депозите, од стране ЦББиХ</w:t>
      </w:r>
      <w:r w:rsidR="006C7731">
        <w:rPr>
          <w:rFonts w:eastAsia="Calibri"/>
          <w:noProof/>
          <w:lang w:eastAsia="en-US"/>
        </w:rPr>
        <w:t xml:space="preserve">.   </w:t>
      </w:r>
    </w:p>
    <w:p w14:paraId="5CE70340" w14:textId="05DD867C" w:rsidR="00EE4BFE" w:rsidRDefault="00772FCE">
      <w:pPr>
        <w:spacing w:after="160" w:line="240" w:lineRule="auto"/>
        <w:jc w:val="both"/>
        <w:rPr>
          <w:rFonts w:eastAsia="Calibri"/>
          <w:noProof/>
          <w:lang w:eastAsia="en-US"/>
        </w:rPr>
      </w:pPr>
      <w:r w:rsidRPr="00772FCE">
        <w:rPr>
          <w:rFonts w:eastAsia="Calibri"/>
          <w:noProof/>
          <w:lang w:eastAsia="en-US"/>
        </w:rPr>
        <w:t>Сваки од ова три РСТФ-а обрачунава се за референтни период од 3, 6 и 12 мјесеци. Назив сваког РСТФ-а садржава у себи јасну назнаку обухвата средстава (обухват 1, 2 или 3), назнаку дужине референтног периода на које се односе изворни подаци на основу којих се РСТФ израчунава (3M, 6M или 12M) те ознаку валуте средстава (КМ и EUR), укупно 18 стопа. Притом се средства у валути КМ с валутном клаузулом у евру укључују у валуту КМ</w:t>
      </w:r>
      <w:r w:rsidR="006C7731">
        <w:rPr>
          <w:rFonts w:eastAsia="Calibri"/>
          <w:noProof/>
          <w:lang w:eastAsia="en-US"/>
        </w:rPr>
        <w:t xml:space="preserve">. </w:t>
      </w:r>
    </w:p>
    <w:p w14:paraId="02A9CB20" w14:textId="7B14B7C7" w:rsidR="006C7731" w:rsidRPr="00772FCE" w:rsidRDefault="00772FCE" w:rsidP="00772FCE">
      <w:pPr>
        <w:spacing w:after="160" w:line="240" w:lineRule="auto"/>
        <w:jc w:val="both"/>
        <w:rPr>
          <w:rFonts w:eastAsia="Calibri"/>
          <w:noProof/>
          <w:lang w:eastAsia="en-US"/>
        </w:rPr>
      </w:pPr>
      <w:r w:rsidRPr="00772FCE">
        <w:rPr>
          <w:rFonts w:eastAsia="Calibri"/>
          <w:noProof/>
          <w:lang w:eastAsia="en-US"/>
        </w:rPr>
        <w:t>РСТФ индекси обрачунавају се искључиво за банкарски сектор. На основу података по свим појединачним банкама, обрачунава се просјечна стопа трошка финансирања банака у БиХ</w:t>
      </w:r>
      <w:r w:rsidR="006C7731">
        <w:rPr>
          <w:rFonts w:eastAsia="Calibri"/>
          <w:noProof/>
          <w:lang w:eastAsia="en-US"/>
        </w:rPr>
        <w:t>.</w:t>
      </w:r>
    </w:p>
    <w:p w14:paraId="46E2472B" w14:textId="3E637DC7" w:rsidR="00EE4BFE" w:rsidRDefault="00011515">
      <w:pPr>
        <w:spacing w:after="160" w:line="240" w:lineRule="auto"/>
        <w:contextualSpacing/>
        <w:jc w:val="center"/>
        <w:rPr>
          <w:rFonts w:eastAsia="Calibri"/>
          <w:b/>
          <w:bCs/>
          <w:noProof/>
          <w:lang w:eastAsia="en-US"/>
        </w:rPr>
      </w:pPr>
      <w:r>
        <w:rPr>
          <w:rFonts w:eastAsia="Calibri"/>
          <w:b/>
          <w:bCs/>
          <w:noProof/>
          <w:lang w:eastAsia="en-US"/>
        </w:rPr>
        <w:lastRenderedPageBreak/>
        <w:t>Члан</w:t>
      </w:r>
      <w:r w:rsidR="006C7731">
        <w:rPr>
          <w:rFonts w:eastAsia="Calibri"/>
          <w:b/>
          <w:bCs/>
          <w:noProof/>
          <w:lang w:eastAsia="en-US"/>
        </w:rPr>
        <w:t xml:space="preserve"> 5 </w:t>
      </w:r>
    </w:p>
    <w:p w14:paraId="71D10D78" w14:textId="6E5538E2" w:rsidR="00EE4BFE" w:rsidRDefault="006C7731">
      <w:pPr>
        <w:spacing w:after="160" w:line="240" w:lineRule="auto"/>
        <w:contextualSpacing/>
        <w:jc w:val="center"/>
        <w:rPr>
          <w:rFonts w:eastAsia="Calibri"/>
          <w:b/>
          <w:bCs/>
          <w:noProof/>
          <w:lang w:eastAsia="en-US"/>
        </w:rPr>
      </w:pPr>
      <w:r>
        <w:rPr>
          <w:rFonts w:eastAsia="Calibri"/>
          <w:b/>
          <w:bCs/>
          <w:noProof/>
          <w:lang w:eastAsia="en-US"/>
        </w:rPr>
        <w:t>(</w:t>
      </w:r>
      <w:r w:rsidR="00772FCE" w:rsidRPr="00772FCE">
        <w:rPr>
          <w:rFonts w:eastAsia="Calibri"/>
          <w:b/>
          <w:bCs/>
          <w:noProof/>
          <w:lang w:eastAsia="en-US"/>
        </w:rPr>
        <w:t>Структура, извори и обухват података</w:t>
      </w:r>
      <w:r>
        <w:rPr>
          <w:rFonts w:eastAsia="Calibri"/>
          <w:b/>
          <w:bCs/>
          <w:noProof/>
          <w:lang w:eastAsia="en-US"/>
        </w:rPr>
        <w:t>)</w:t>
      </w:r>
    </w:p>
    <w:p w14:paraId="7BFEA50F" w14:textId="77777777" w:rsidR="00EE4BFE" w:rsidRDefault="00EE4BFE">
      <w:pPr>
        <w:spacing w:after="160" w:line="240" w:lineRule="auto"/>
        <w:contextualSpacing/>
        <w:jc w:val="center"/>
        <w:rPr>
          <w:rFonts w:eastAsia="Calibri"/>
          <w:b/>
          <w:bCs/>
          <w:noProof/>
          <w:lang w:eastAsia="en-US"/>
        </w:rPr>
      </w:pPr>
    </w:p>
    <w:p w14:paraId="730F2303" w14:textId="00CF26A7" w:rsidR="00EE4BFE" w:rsidRDefault="00772FCE">
      <w:pPr>
        <w:spacing w:after="160" w:line="259" w:lineRule="auto"/>
        <w:jc w:val="both"/>
        <w:rPr>
          <w:rFonts w:eastAsia="Calibri"/>
          <w:lang w:eastAsia="en-US"/>
        </w:rPr>
      </w:pPr>
      <w:r w:rsidRPr="00772FCE">
        <w:rPr>
          <w:rFonts w:eastAsia="Calibri"/>
          <w:lang w:eastAsia="en-US"/>
        </w:rPr>
        <w:t>За потребе обрачуна РСТФ-а, за сваки квартал се прикупљају подаци о каматним трошковима банака које послују у БиХ, за главне изворе средстава у току претходног квартала (у наставку текста: референтни квартал), као и подаци о стањима тих извора средстава на крају сваког мјесеца унутар референтног квартала на које се наведени каматни трошкови односе, који се од стране ФБА и АБРС достављају ЦББиХ</w:t>
      </w:r>
      <w:r w:rsidR="006C7731">
        <w:rPr>
          <w:rFonts w:eastAsia="Calibri"/>
          <w:lang w:eastAsia="en-US"/>
        </w:rPr>
        <w:t xml:space="preserve">. </w:t>
      </w:r>
    </w:p>
    <w:p w14:paraId="26BF1FF4" w14:textId="4BC2AA47" w:rsidR="00EE4BFE" w:rsidRDefault="007D53D2">
      <w:pPr>
        <w:spacing w:after="160" w:line="240" w:lineRule="auto"/>
        <w:jc w:val="both"/>
        <w:rPr>
          <w:rFonts w:eastAsia="Calibri"/>
          <w:noProof/>
          <w:lang w:eastAsia="en-US"/>
        </w:rPr>
      </w:pPr>
      <w:r w:rsidRPr="007D53D2">
        <w:rPr>
          <w:rFonts w:eastAsia="Calibri"/>
          <w:noProof/>
          <w:lang w:eastAsia="en-US"/>
        </w:rPr>
        <w:t>Главни извори средстава обухваћају финансијске обавезе распоређене у портфолио који се вреднује по амортизованом трошку (бруто главница неподређених депозита и обавез</w:t>
      </w:r>
      <w:r w:rsidR="003C33F7">
        <w:rPr>
          <w:rFonts w:eastAsia="Calibri"/>
          <w:noProof/>
          <w:lang w:eastAsia="en-US"/>
        </w:rPr>
        <w:t>e</w:t>
      </w:r>
      <w:r w:rsidRPr="007D53D2">
        <w:rPr>
          <w:rFonts w:eastAsia="Calibri"/>
          <w:noProof/>
          <w:lang w:eastAsia="en-US"/>
        </w:rPr>
        <w:t xml:space="preserve"> по узетим кредитима). Извори средстава обухваћају резидентне и нерезидентне секторе. Субординисани дуг, маржни, хибридни и подређени инструменти, те било који други инструменти капитала не улазе у обухват инструмената за обрачун РСТФ-а</w:t>
      </w:r>
      <w:r w:rsidR="006C7731">
        <w:t xml:space="preserve">. </w:t>
      </w:r>
    </w:p>
    <w:p w14:paraId="0D39A2D8" w14:textId="74E7DF6A" w:rsidR="00EE4BFE" w:rsidRDefault="00E33F6F">
      <w:pPr>
        <w:spacing w:after="160" w:line="240" w:lineRule="auto"/>
        <w:jc w:val="both"/>
        <w:rPr>
          <w:noProof/>
          <w:lang w:eastAsia="en-US"/>
        </w:rPr>
      </w:pPr>
      <w:r w:rsidRPr="00E33F6F">
        <w:rPr>
          <w:noProof/>
          <w:lang w:eastAsia="en-US"/>
        </w:rPr>
        <w:t>Обим финансијских инструмената зависи од обухвата појединога РСТФ-а. Обухват средстава у Обухвату 1 (Депозити становништва) и Обухвату 2 (Депозити становништва и нефинансијских друштава) ограничен је на депозите. Депозити становништва обухваћају све депозите физичких лица/грађана и занатлија, док депозити нефинансијских друштава обухваћају депозите владиних институција, јавних предузећа, приватних предузећа и друштава и непрофитних организација. Обухват 3 (Сви каматоносни извори од становништва, нефинансијских друштава и финансијских институција) укључује све депозите становништва, депозите нефинансијских друштава, депозите финансијских институција, узете кредите и издате дужничке вриједносне папире. Депозити финансијских институција обухваћају депозите банкарских и небанкарских финансијских институција. Инструменти капитала се не укључују у обрачун РСТФ-а</w:t>
      </w:r>
      <w:r w:rsidR="006C7731">
        <w:rPr>
          <w:noProof/>
          <w:lang w:eastAsia="en-US"/>
        </w:rPr>
        <w:t>.</w:t>
      </w:r>
    </w:p>
    <w:p w14:paraId="7728EBB7" w14:textId="0D500696" w:rsidR="00EE4BFE" w:rsidRDefault="00E33F6F">
      <w:pPr>
        <w:spacing w:after="160" w:line="240" w:lineRule="auto"/>
        <w:jc w:val="both"/>
        <w:rPr>
          <w:noProof/>
          <w:lang w:eastAsia="en-US"/>
        </w:rPr>
      </w:pPr>
      <w:r w:rsidRPr="00E33F6F">
        <w:rPr>
          <w:noProof/>
          <w:lang w:eastAsia="en-US"/>
        </w:rPr>
        <w:t>РСТФ-ови се обрачунавају за три обухвата (Становништво, Становништво и нефинансијска друштва и Становништво, нефинансијска друштава и финансијске институције) и двије валуте (конвертибилна марка и евро). Притом се показатељи за КМ валуту односе и на КМ-овске изворе средстава банака уговорене с валутном клаузулом у валути EUR</w:t>
      </w:r>
      <w:r w:rsidR="006C7731">
        <w:rPr>
          <w:noProof/>
          <w:lang w:eastAsia="en-US"/>
        </w:rPr>
        <w:t>.</w:t>
      </w:r>
    </w:p>
    <w:p w14:paraId="77E7D4F9" w14:textId="0C89E508" w:rsidR="00EE4BFE" w:rsidRDefault="00F73848">
      <w:pPr>
        <w:spacing w:after="160" w:line="240" w:lineRule="auto"/>
        <w:jc w:val="both"/>
        <w:rPr>
          <w:noProof/>
          <w:lang w:eastAsia="en-US"/>
        </w:rPr>
      </w:pPr>
      <w:r w:rsidRPr="00F73848">
        <w:rPr>
          <w:noProof/>
          <w:lang w:eastAsia="en-US"/>
        </w:rPr>
        <w:t>РСТФ-ови се обрачунавају на основу мјесечних и кварталних историјских података које банке квартално достављају ФБА и АБРС-у. За каматне трошкове најприје се рачунају квартални показатељи за сваку банку посебно (на начин да се од износа на крају извјештајног периода одузме износ из претходног квартала обрачуна, осим за први квартал у календарској години), а потом се ти квартални показатељи сабирају (агрегирају). За стања извора финансирања подаци се сабирају (агрегирају) за све банке у једном мјесецу</w:t>
      </w:r>
      <w:r w:rsidR="006C7731">
        <w:rPr>
          <w:noProof/>
          <w:lang w:eastAsia="en-US"/>
        </w:rPr>
        <w:t xml:space="preserve">. </w:t>
      </w:r>
    </w:p>
    <w:p w14:paraId="13E23A4A" w14:textId="5A084A35" w:rsidR="00EE4BFE" w:rsidRDefault="00F73848">
      <w:pPr>
        <w:spacing w:after="160" w:line="240" w:lineRule="auto"/>
        <w:jc w:val="both"/>
        <w:rPr>
          <w:noProof/>
          <w:lang w:eastAsia="en-US"/>
        </w:rPr>
      </w:pPr>
      <w:r w:rsidRPr="00F73848">
        <w:rPr>
          <w:noProof/>
          <w:lang w:eastAsia="en-US"/>
        </w:rPr>
        <w:t>Сви подаци се исказују у апсолутним износима, заокружено на два децимална мјеста</w:t>
      </w:r>
      <w:r w:rsidR="006C7731">
        <w:rPr>
          <w:noProof/>
          <w:lang w:eastAsia="en-US"/>
        </w:rPr>
        <w:t>.</w:t>
      </w:r>
    </w:p>
    <w:p w14:paraId="68E2D6A9" w14:textId="7C5D7A17" w:rsidR="00EE4BFE" w:rsidRDefault="00F73848">
      <w:pPr>
        <w:spacing w:after="160" w:line="240" w:lineRule="auto"/>
        <w:jc w:val="both"/>
        <w:rPr>
          <w:noProof/>
          <w:lang w:eastAsia="en-US"/>
        </w:rPr>
      </w:pPr>
      <w:r w:rsidRPr="00F73848">
        <w:rPr>
          <w:noProof/>
          <w:lang w:eastAsia="en-US"/>
        </w:rPr>
        <w:t>За потребе обрачуна РСТФ-а користе се подаци свих банака које имају дозволу за рад издату од надлежних ентитетских агенција за банкарство, а које су пословале у цијелом референтном кварталу (од првога до посљедњег дана тог квартала), тј. у обрачун не улазе подаци оних банака које су престале или почеле пословати у току референтног квартала (због стечаја, ликвидације, спајања, припајања и сл.).</w:t>
      </w:r>
      <w:r w:rsidR="006C7731">
        <w:rPr>
          <w:noProof/>
          <w:lang w:eastAsia="en-US"/>
        </w:rPr>
        <w:t xml:space="preserve"> </w:t>
      </w:r>
    </w:p>
    <w:p w14:paraId="615210EC" w14:textId="06A92924" w:rsidR="00EE4BFE" w:rsidRDefault="00F73848">
      <w:pPr>
        <w:spacing w:after="160" w:line="240" w:lineRule="auto"/>
        <w:jc w:val="both"/>
        <w:rPr>
          <w:noProof/>
          <w:lang w:eastAsia="en-US"/>
        </w:rPr>
      </w:pPr>
      <w:r w:rsidRPr="00F73848">
        <w:rPr>
          <w:noProof/>
          <w:lang w:eastAsia="en-US"/>
        </w:rPr>
        <w:t>Технички запис обрачуна показатеља</w:t>
      </w:r>
      <w:r w:rsidR="006C7731">
        <w:rPr>
          <w:noProof/>
          <w:lang w:eastAsia="en-US"/>
        </w:rPr>
        <w:t>:</w:t>
      </w:r>
    </w:p>
    <w:p w14:paraId="24600D6B" w14:textId="46B98A67" w:rsidR="00EE4BFE" w:rsidRDefault="006B72B8" w:rsidP="00AB0080">
      <w:pPr>
        <w:spacing w:line="240" w:lineRule="auto"/>
        <w:jc w:val="both"/>
        <w:rPr>
          <w:noProof/>
          <w:lang w:eastAsia="en-US"/>
        </w:rPr>
      </w:pPr>
      <w:r w:rsidRPr="006B72B8">
        <w:rPr>
          <w:noProof/>
        </w:rPr>
        <w:lastRenderedPageBreak/>
        <w:drawing>
          <wp:inline distT="0" distB="0" distL="0" distR="0" wp14:anchorId="02C6AD56" wp14:editId="203FB2C2">
            <wp:extent cx="5731510" cy="2906528"/>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06528"/>
                    </a:xfrm>
                    <a:prstGeom prst="rect">
                      <a:avLst/>
                    </a:prstGeom>
                    <a:noFill/>
                    <a:ln>
                      <a:noFill/>
                    </a:ln>
                  </pic:spPr>
                </pic:pic>
              </a:graphicData>
            </a:graphic>
          </wp:inline>
        </w:drawing>
      </w:r>
    </w:p>
    <w:p w14:paraId="56FF67A9" w14:textId="760CDA27" w:rsidR="006B72B8" w:rsidRDefault="006B72B8" w:rsidP="00AB0080">
      <w:pPr>
        <w:spacing w:line="240" w:lineRule="auto"/>
        <w:jc w:val="both"/>
        <w:rPr>
          <w:noProof/>
          <w:lang w:eastAsia="en-US"/>
        </w:rPr>
      </w:pPr>
    </w:p>
    <w:p w14:paraId="3561A94A" w14:textId="77777777" w:rsidR="006C7731" w:rsidRDefault="006C7731">
      <w:pPr>
        <w:spacing w:line="240" w:lineRule="auto"/>
        <w:jc w:val="center"/>
        <w:rPr>
          <w:b/>
          <w:bCs/>
          <w:noProof/>
          <w:lang w:eastAsia="en-US"/>
        </w:rPr>
      </w:pPr>
      <w:bookmarkStart w:id="2" w:name="_Hlk132890854"/>
    </w:p>
    <w:p w14:paraId="7EA8417D" w14:textId="0166AC31" w:rsidR="00EE4BFE" w:rsidRDefault="00011515">
      <w:pPr>
        <w:spacing w:line="240" w:lineRule="auto"/>
        <w:jc w:val="center"/>
        <w:rPr>
          <w:b/>
          <w:bCs/>
          <w:noProof/>
          <w:lang w:eastAsia="en-US"/>
        </w:rPr>
      </w:pPr>
      <w:r>
        <w:rPr>
          <w:b/>
          <w:bCs/>
          <w:noProof/>
          <w:lang w:eastAsia="en-US"/>
        </w:rPr>
        <w:t>Члан</w:t>
      </w:r>
      <w:r w:rsidR="006C7731">
        <w:rPr>
          <w:b/>
          <w:bCs/>
          <w:noProof/>
          <w:lang w:eastAsia="en-US"/>
        </w:rPr>
        <w:t xml:space="preserve"> 6</w:t>
      </w:r>
    </w:p>
    <w:p w14:paraId="17E54ECD" w14:textId="646015DE" w:rsidR="00EE4BFE" w:rsidRDefault="006C7731">
      <w:pPr>
        <w:spacing w:line="240" w:lineRule="auto"/>
        <w:jc w:val="center"/>
        <w:rPr>
          <w:b/>
          <w:bCs/>
          <w:noProof/>
          <w:lang w:eastAsia="en-US"/>
        </w:rPr>
      </w:pPr>
      <w:r>
        <w:rPr>
          <w:b/>
          <w:bCs/>
          <w:noProof/>
          <w:lang w:eastAsia="en-US"/>
        </w:rPr>
        <w:t>(</w:t>
      </w:r>
      <w:bookmarkEnd w:id="2"/>
      <w:r w:rsidR="005A4680" w:rsidRPr="005A4680">
        <w:rPr>
          <w:b/>
          <w:bCs/>
          <w:noProof/>
          <w:lang w:eastAsia="en-US"/>
        </w:rPr>
        <w:t>Обрачун РСТФ-а</w:t>
      </w:r>
      <w:r>
        <w:rPr>
          <w:b/>
          <w:bCs/>
          <w:noProof/>
          <w:lang w:eastAsia="en-US"/>
        </w:rPr>
        <w:t>)</w:t>
      </w:r>
    </w:p>
    <w:p w14:paraId="530CC1A6" w14:textId="77777777" w:rsidR="00EE4BFE" w:rsidRDefault="00EE4BFE">
      <w:pPr>
        <w:spacing w:line="240" w:lineRule="auto"/>
        <w:jc w:val="center"/>
        <w:rPr>
          <w:b/>
          <w:bCs/>
          <w:noProof/>
          <w:lang w:eastAsia="en-US"/>
        </w:rPr>
      </w:pPr>
    </w:p>
    <w:p w14:paraId="2B6DD978" w14:textId="0A83B9FB" w:rsidR="00EE4BFE" w:rsidRDefault="005A4680">
      <w:pPr>
        <w:spacing w:line="240" w:lineRule="auto"/>
        <w:jc w:val="both"/>
        <w:rPr>
          <w:rFonts w:eastAsia="Calibri"/>
          <w:noProof/>
          <w:lang w:eastAsia="en-US"/>
        </w:rPr>
      </w:pPr>
      <w:r w:rsidRPr="005A4680">
        <w:rPr>
          <w:rFonts w:eastAsia="Calibri"/>
          <w:noProof/>
          <w:lang w:eastAsia="en-US"/>
        </w:rPr>
        <w:t>РСТФ, за поједину валуту, одређени обухват извора средстава и референтни период на које се подаци односе, рачуна се на сљедећи начин</w:t>
      </w:r>
      <w:r w:rsidR="006C7731">
        <w:rPr>
          <w:rFonts w:eastAsia="Calibri"/>
          <w:noProof/>
          <w:lang w:eastAsia="en-US"/>
        </w:rPr>
        <w:t>:</w:t>
      </w:r>
    </w:p>
    <w:p w14:paraId="7A8295FE" w14:textId="77777777" w:rsidR="00AB0080" w:rsidRDefault="00AB0080">
      <w:pPr>
        <w:spacing w:line="240" w:lineRule="auto"/>
        <w:jc w:val="both"/>
        <w:rPr>
          <w:rFonts w:eastAsia="Calibri"/>
          <w:noProof/>
          <w:lang w:eastAsia="en-US"/>
        </w:rPr>
      </w:pPr>
    </w:p>
    <w:p w14:paraId="303C941B" w14:textId="73536A11" w:rsidR="00EE4BFE" w:rsidRDefault="005A4680" w:rsidP="00CA79E4">
      <w:pPr>
        <w:spacing w:after="160" w:line="240" w:lineRule="auto"/>
        <w:ind w:left="360" w:hanging="360"/>
        <w:jc w:val="both"/>
        <w:rPr>
          <w:rFonts w:eastAsia="Calibri"/>
          <w:noProof/>
          <w:lang w:eastAsia="en-US"/>
        </w:rPr>
      </w:pPr>
      <w:r>
        <w:rPr>
          <w:rFonts w:eastAsia="Calibri"/>
          <w:noProof/>
          <w:lang w:val="sr-Cyrl-RS" w:eastAsia="en-US"/>
        </w:rPr>
        <w:t>а)</w:t>
      </w:r>
      <w:r>
        <w:rPr>
          <w:rFonts w:eastAsia="Calibri"/>
          <w:noProof/>
          <w:lang w:val="sr-Cyrl-RS" w:eastAsia="en-US"/>
        </w:rPr>
        <w:tab/>
      </w:r>
      <w:r w:rsidR="00CA79E4" w:rsidRPr="00CA79E4">
        <w:rPr>
          <w:rFonts w:eastAsia="Calibri"/>
          <w:noProof/>
          <w:lang w:eastAsia="en-US"/>
        </w:rPr>
        <w:t>израчуна се укупни каматни трошак свих банака у цијелом периоду с обзиром на ту валуту и обухват извора средстава</w:t>
      </w:r>
      <w:r w:rsidR="006C7731">
        <w:rPr>
          <w:rFonts w:eastAsia="Calibri"/>
          <w:noProof/>
          <w:lang w:eastAsia="en-US"/>
        </w:rPr>
        <w:t xml:space="preserve">; </w:t>
      </w:r>
    </w:p>
    <w:p w14:paraId="1F0A9C8A" w14:textId="280BDFEB" w:rsidR="00EE4BFE" w:rsidRDefault="00CA79E4" w:rsidP="00CA79E4">
      <w:pPr>
        <w:spacing w:after="160" w:line="240" w:lineRule="auto"/>
        <w:ind w:left="360" w:hanging="360"/>
        <w:jc w:val="both"/>
        <w:rPr>
          <w:rFonts w:eastAsia="Calibri"/>
          <w:noProof/>
          <w:lang w:eastAsia="en-US"/>
        </w:rPr>
      </w:pPr>
      <w:r>
        <w:rPr>
          <w:rFonts w:eastAsia="Calibri"/>
          <w:noProof/>
          <w:lang w:val="sr-Cyrl-RS" w:eastAsia="en-US"/>
        </w:rPr>
        <w:t>б)</w:t>
      </w:r>
      <w:r>
        <w:rPr>
          <w:rFonts w:eastAsia="Calibri"/>
          <w:noProof/>
          <w:lang w:val="sr-Cyrl-RS" w:eastAsia="en-US"/>
        </w:rPr>
        <w:tab/>
      </w:r>
      <w:r w:rsidRPr="00CA79E4">
        <w:rPr>
          <w:rFonts w:eastAsia="Calibri"/>
          <w:noProof/>
          <w:lang w:eastAsia="en-US"/>
        </w:rPr>
        <w:t>израчуна се просјечно стање главних извора финансирања у цијелом периоду с обзиром на ту валуту и обухват извора финансирања</w:t>
      </w:r>
      <w:r w:rsidR="006C7731">
        <w:rPr>
          <w:rFonts w:eastAsia="Calibri"/>
          <w:noProof/>
          <w:lang w:eastAsia="en-US"/>
        </w:rPr>
        <w:t>;</w:t>
      </w:r>
    </w:p>
    <w:p w14:paraId="75240D9B" w14:textId="2E5B1946" w:rsidR="00EE4BFE" w:rsidRDefault="00CA79E4" w:rsidP="00CA79E4">
      <w:pPr>
        <w:spacing w:after="160" w:line="240" w:lineRule="auto"/>
        <w:ind w:left="360" w:hanging="360"/>
        <w:jc w:val="both"/>
        <w:rPr>
          <w:rFonts w:eastAsia="Calibri"/>
          <w:noProof/>
          <w:lang w:eastAsia="en-US"/>
        </w:rPr>
      </w:pPr>
      <w:r>
        <w:rPr>
          <w:rFonts w:eastAsia="Calibri"/>
          <w:noProof/>
          <w:lang w:val="sr-Cyrl-RS" w:eastAsia="en-US"/>
        </w:rPr>
        <w:t>ц)</w:t>
      </w:r>
      <w:r>
        <w:rPr>
          <w:rFonts w:eastAsia="Calibri"/>
          <w:noProof/>
          <w:lang w:val="sr-Cyrl-RS" w:eastAsia="en-US"/>
        </w:rPr>
        <w:tab/>
      </w:r>
      <w:r w:rsidRPr="00CA79E4">
        <w:rPr>
          <w:rFonts w:eastAsia="Calibri"/>
          <w:noProof/>
          <w:lang w:eastAsia="en-US"/>
        </w:rPr>
        <w:t>израчуна се однос претходно израчунатог укупног каматног трошка и просјечног стања извора средстава, те се тај однос подијели с укупним бројем дана у цијелом периоду и помножи с 365 (или 366 ако референтни период обухваћа фебруар преступне године), како би се добио РСТФ изражен на годишњем нивоу</w:t>
      </w:r>
      <w:r w:rsidR="006C7731">
        <w:rPr>
          <w:rFonts w:eastAsia="Calibri"/>
          <w:noProof/>
          <w:lang w:eastAsia="en-US"/>
        </w:rPr>
        <w:t>.</w:t>
      </w:r>
    </w:p>
    <w:p w14:paraId="032AEB59" w14:textId="32D8E985" w:rsidR="00EE4BFE" w:rsidRDefault="005D6694">
      <w:pPr>
        <w:spacing w:after="160" w:line="240" w:lineRule="auto"/>
        <w:jc w:val="both"/>
        <w:rPr>
          <w:rFonts w:eastAsia="Calibri"/>
          <w:noProof/>
          <w:lang w:eastAsia="en-US"/>
        </w:rPr>
      </w:pPr>
      <w:r w:rsidRPr="005D6694">
        <w:rPr>
          <w:rFonts w:eastAsia="Calibri"/>
          <w:noProof/>
          <w:lang w:eastAsia="en-US"/>
        </w:rPr>
        <w:t xml:space="preserve">Стопа изражена у постотку добије се када се обрачунати РСТФ под ц) помножи са </w:t>
      </w:r>
      <w:r w:rsidR="006C7731">
        <w:rPr>
          <w:rFonts w:eastAsia="Calibri"/>
          <w:noProof/>
          <w:lang w:eastAsia="en-US"/>
        </w:rPr>
        <w:t>100.</w:t>
      </w:r>
    </w:p>
    <w:p w14:paraId="20936883" w14:textId="77FECB77" w:rsidR="00EE4BFE" w:rsidRDefault="005D6694">
      <w:pPr>
        <w:spacing w:after="160" w:line="240" w:lineRule="auto"/>
        <w:jc w:val="both"/>
        <w:rPr>
          <w:rFonts w:eastAsia="Calibri"/>
          <w:noProof/>
          <w:lang w:eastAsia="en-US"/>
        </w:rPr>
      </w:pPr>
      <w:r w:rsidRPr="005D6694">
        <w:rPr>
          <w:rFonts w:eastAsia="Calibri"/>
          <w:noProof/>
          <w:lang w:eastAsia="en-US"/>
        </w:rPr>
        <w:t>РСТФ се рачуна према сљедећој генеричкој формули</w:t>
      </w:r>
      <w:r w:rsidR="006C7731">
        <w:rPr>
          <w:rFonts w:eastAsia="Calibri"/>
          <w:noProof/>
          <w:lang w:eastAsia="en-US"/>
        </w:rPr>
        <w:t>:</w:t>
      </w:r>
    </w:p>
    <w:p w14:paraId="521D1F64" w14:textId="77777777" w:rsidR="00EE4BFE" w:rsidRDefault="00EE4BFE">
      <w:pPr>
        <w:spacing w:after="160" w:line="240" w:lineRule="auto"/>
        <w:ind w:left="360"/>
        <w:contextualSpacing/>
        <w:jc w:val="both"/>
        <w:rPr>
          <w:rFonts w:eastAsia="Calibri"/>
          <w:noProof/>
          <w:lang w:eastAsia="en-US"/>
        </w:rPr>
      </w:pPr>
    </w:p>
    <w:p w14:paraId="2FCE3721" w14:textId="00D2171C" w:rsidR="00EE4BFE" w:rsidRDefault="0032655E" w:rsidP="00CA41A7">
      <w:pPr>
        <w:spacing w:after="160" w:line="240" w:lineRule="auto"/>
        <w:ind w:left="360"/>
        <w:contextualSpacing/>
        <w:jc w:val="both"/>
        <w:rPr>
          <w:rFonts w:eastAsia="Calibri"/>
          <w:noProof/>
          <w:lang w:eastAsia="en-US"/>
        </w:rPr>
      </w:pPr>
      <w:r w:rsidRPr="0032655E">
        <w:rPr>
          <w:rFonts w:eastAsia="Calibri"/>
          <w:noProof/>
        </w:rPr>
        <w:drawing>
          <wp:inline distT="0" distB="0" distL="0" distR="0" wp14:anchorId="0D5B7C58" wp14:editId="41C6C075">
            <wp:extent cx="4707255" cy="636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55" cy="636270"/>
                    </a:xfrm>
                    <a:prstGeom prst="rect">
                      <a:avLst/>
                    </a:prstGeom>
                    <a:noFill/>
                    <a:ln>
                      <a:noFill/>
                    </a:ln>
                  </pic:spPr>
                </pic:pic>
              </a:graphicData>
            </a:graphic>
          </wp:inline>
        </w:drawing>
      </w:r>
    </w:p>
    <w:p w14:paraId="5892705E" w14:textId="77777777" w:rsidR="0032655E" w:rsidRDefault="0032655E">
      <w:pPr>
        <w:spacing w:after="160" w:line="259" w:lineRule="auto"/>
        <w:jc w:val="both"/>
        <w:rPr>
          <w:rFonts w:eastAsia="Calibri"/>
          <w:noProof/>
          <w:lang w:val="sr-Cyrl-RS" w:eastAsia="en-US"/>
        </w:rPr>
      </w:pPr>
    </w:p>
    <w:p w14:paraId="1525C7A8" w14:textId="16CD2F0B" w:rsidR="00EE4BFE" w:rsidRDefault="00F02303">
      <w:pPr>
        <w:spacing w:after="160" w:line="259" w:lineRule="auto"/>
        <w:jc w:val="both"/>
        <w:rPr>
          <w:rFonts w:eastAsia="Calibri"/>
          <w:noProof/>
          <w:lang w:eastAsia="en-US"/>
        </w:rPr>
      </w:pPr>
      <w:r>
        <w:rPr>
          <w:rFonts w:eastAsia="Calibri"/>
          <w:noProof/>
          <w:lang w:val="sr-Cyrl-RS" w:eastAsia="en-US"/>
        </w:rPr>
        <w:t>гдје су</w:t>
      </w:r>
      <w:r w:rsidR="006C7731">
        <w:rPr>
          <w:rFonts w:eastAsia="Calibri"/>
          <w:noProof/>
          <w:lang w:eastAsia="en-US"/>
        </w:rPr>
        <w:t xml:space="preserve">: </w:t>
      </w:r>
    </w:p>
    <w:p w14:paraId="0610452A" w14:textId="21FCECCE" w:rsidR="00F02303" w:rsidRPr="00F02303" w:rsidRDefault="00D0655E" w:rsidP="00F02303">
      <w:pPr>
        <w:spacing w:after="160" w:line="240" w:lineRule="auto"/>
        <w:contextualSpacing/>
        <w:jc w:val="both"/>
        <w:rPr>
          <w:rFonts w:eastAsia="Calibri"/>
          <w:noProof/>
          <w:lang w:eastAsia="en-US"/>
        </w:rPr>
      </w:pPr>
      <w:r>
        <w:rPr>
          <w:rFonts w:eastAsia="Calibri"/>
          <w:noProof/>
          <w:lang w:val="sr-Cyrl-RS" w:eastAsia="en-US"/>
        </w:rPr>
        <w:t>Н</w:t>
      </w:r>
      <w:r w:rsidR="00F02303" w:rsidRPr="00F02303">
        <w:rPr>
          <w:rFonts w:eastAsia="Calibri"/>
          <w:noProof/>
          <w:lang w:eastAsia="en-US"/>
        </w:rPr>
        <w:t xml:space="preserve"> – број мјесеци за које се РСТФ рачуна (3, 6 или 12), </w:t>
      </w:r>
    </w:p>
    <w:p w14:paraId="393A028C" w14:textId="71D1490E" w:rsidR="00F02303" w:rsidRPr="00F02303" w:rsidRDefault="00D0655E" w:rsidP="00F02303">
      <w:pPr>
        <w:spacing w:after="160" w:line="240" w:lineRule="auto"/>
        <w:contextualSpacing/>
        <w:jc w:val="both"/>
        <w:rPr>
          <w:rFonts w:eastAsia="Calibri"/>
          <w:noProof/>
          <w:lang w:eastAsia="en-US"/>
        </w:rPr>
      </w:pPr>
      <w:r>
        <w:rPr>
          <w:rFonts w:eastAsia="Calibri"/>
          <w:noProof/>
          <w:lang w:val="sr-Cyrl-RS" w:eastAsia="en-US"/>
        </w:rPr>
        <w:t>О</w:t>
      </w:r>
      <w:r w:rsidR="00F02303" w:rsidRPr="00F02303">
        <w:rPr>
          <w:rFonts w:eastAsia="Calibri"/>
          <w:noProof/>
          <w:lang w:eastAsia="en-US"/>
        </w:rPr>
        <w:t xml:space="preserve"> – обухват извора средстава и трошкова (1, 2 или 3), </w:t>
      </w:r>
    </w:p>
    <w:p w14:paraId="38432FF9" w14:textId="04814EA2" w:rsidR="00EE4BFE" w:rsidRDefault="00D0655E" w:rsidP="00F02303">
      <w:pPr>
        <w:spacing w:after="160" w:line="240" w:lineRule="auto"/>
        <w:contextualSpacing/>
        <w:jc w:val="both"/>
        <w:rPr>
          <w:rFonts w:eastAsia="Calibri"/>
          <w:noProof/>
          <w:lang w:eastAsia="en-US"/>
        </w:rPr>
      </w:pPr>
      <w:r>
        <w:rPr>
          <w:rFonts w:eastAsia="Calibri"/>
          <w:noProof/>
          <w:lang w:val="sr-Cyrl-RS" w:eastAsia="en-US"/>
        </w:rPr>
        <w:t>В</w:t>
      </w:r>
      <w:r w:rsidR="00F02303" w:rsidRPr="00F02303">
        <w:rPr>
          <w:rFonts w:eastAsia="Calibri"/>
          <w:noProof/>
          <w:lang w:eastAsia="en-US"/>
        </w:rPr>
        <w:t xml:space="preserve"> – валута извора средстава и трошкова (КМ или</w:t>
      </w:r>
      <w:r w:rsidR="006C7731">
        <w:rPr>
          <w:rFonts w:eastAsia="Calibri"/>
          <w:noProof/>
          <w:lang w:eastAsia="en-US"/>
        </w:rPr>
        <w:t xml:space="preserve"> EUR)</w:t>
      </w:r>
    </w:p>
    <w:p w14:paraId="04942ED7" w14:textId="7314B783" w:rsidR="00EE4BFE" w:rsidRDefault="00F02303">
      <w:pPr>
        <w:spacing w:after="160" w:line="240" w:lineRule="auto"/>
        <w:contextualSpacing/>
        <w:jc w:val="both"/>
        <w:rPr>
          <w:rFonts w:eastAsia="Calibri"/>
          <w:noProof/>
          <w:lang w:eastAsia="en-US"/>
        </w:rPr>
      </w:pPr>
      <w:r w:rsidRPr="00F02303">
        <w:rPr>
          <w:rFonts w:eastAsia="Calibri"/>
          <w:noProof/>
          <w:lang w:eastAsia="en-US"/>
        </w:rPr>
        <w:t xml:space="preserve">Просјек стања извора средстава аритметичка средина одговарајућих података (посљедњих </w:t>
      </w:r>
      <w:r w:rsidR="00D0655E">
        <w:rPr>
          <w:rFonts w:eastAsia="Calibri"/>
          <w:noProof/>
          <w:lang w:val="sr-Cyrl-RS" w:eastAsia="en-US"/>
        </w:rPr>
        <w:t>Н</w:t>
      </w:r>
      <w:r w:rsidRPr="00F02303">
        <w:rPr>
          <w:rFonts w:eastAsia="Calibri"/>
          <w:noProof/>
          <w:lang w:eastAsia="en-US"/>
        </w:rPr>
        <w:t xml:space="preserve"> мјесеци</w:t>
      </w:r>
      <w:r w:rsidR="006C7731">
        <w:rPr>
          <w:rFonts w:eastAsia="Calibri"/>
          <w:noProof/>
          <w:lang w:eastAsia="en-US"/>
        </w:rPr>
        <w:t xml:space="preserve">), </w:t>
      </w:r>
    </w:p>
    <w:p w14:paraId="43D5973E" w14:textId="43930FD5" w:rsidR="00EE4BFE" w:rsidRDefault="00F02303">
      <w:pPr>
        <w:spacing w:after="160" w:line="240" w:lineRule="auto"/>
        <w:contextualSpacing/>
        <w:jc w:val="both"/>
        <w:rPr>
          <w:rFonts w:eastAsia="Calibri"/>
          <w:noProof/>
          <w:lang w:eastAsia="en-US"/>
        </w:rPr>
      </w:pPr>
      <w:r w:rsidRPr="00F02303">
        <w:rPr>
          <w:rFonts w:eastAsia="Calibri"/>
          <w:noProof/>
          <w:lang w:eastAsia="en-US"/>
        </w:rPr>
        <w:lastRenderedPageBreak/>
        <w:t xml:space="preserve">Укупни трошкови збир одговарајућих података (посљедњих </w:t>
      </w:r>
      <w:r w:rsidR="00D0655E">
        <w:rPr>
          <w:rFonts w:eastAsia="Calibri"/>
          <w:noProof/>
          <w:lang w:val="sr-Cyrl-RS" w:eastAsia="en-US"/>
        </w:rPr>
        <w:t>Н</w:t>
      </w:r>
      <w:r w:rsidRPr="00F02303">
        <w:rPr>
          <w:rFonts w:eastAsia="Calibri"/>
          <w:noProof/>
          <w:lang w:eastAsia="en-US"/>
        </w:rPr>
        <w:t>/3 квартала) из биланса успјеха</w:t>
      </w:r>
      <w:r w:rsidR="006C7731">
        <w:rPr>
          <w:rFonts w:eastAsia="Calibri"/>
          <w:noProof/>
          <w:lang w:eastAsia="en-US"/>
        </w:rPr>
        <w:t xml:space="preserve">, </w:t>
      </w:r>
    </w:p>
    <w:p w14:paraId="7417F4A5" w14:textId="17988EC1" w:rsidR="00EE4BFE" w:rsidRDefault="00F02303">
      <w:pPr>
        <w:spacing w:after="160" w:line="240" w:lineRule="auto"/>
        <w:jc w:val="both"/>
        <w:rPr>
          <w:rFonts w:eastAsia="Calibri"/>
          <w:noProof/>
          <w:lang w:eastAsia="en-US"/>
        </w:rPr>
      </w:pPr>
      <w:r w:rsidRPr="00F02303">
        <w:rPr>
          <w:rFonts w:eastAsia="Calibri"/>
          <w:noProof/>
          <w:lang w:eastAsia="en-US"/>
        </w:rPr>
        <w:t>Број дана (</w:t>
      </w:r>
      <w:r w:rsidR="00D0655E">
        <w:rPr>
          <w:rFonts w:eastAsia="Calibri"/>
          <w:noProof/>
          <w:lang w:val="sr-Cyrl-RS" w:eastAsia="en-US"/>
        </w:rPr>
        <w:t>Н</w:t>
      </w:r>
      <w:r w:rsidRPr="00F02303">
        <w:rPr>
          <w:rFonts w:eastAsia="Calibri"/>
          <w:noProof/>
          <w:lang w:eastAsia="en-US"/>
        </w:rPr>
        <w:t xml:space="preserve">) – стварни број дана у посљедњих </w:t>
      </w:r>
      <w:r w:rsidR="00D0655E">
        <w:rPr>
          <w:rFonts w:eastAsia="Calibri"/>
          <w:noProof/>
          <w:lang w:val="sr-Cyrl-RS" w:eastAsia="en-US"/>
        </w:rPr>
        <w:t>Н</w:t>
      </w:r>
      <w:r w:rsidRPr="00F02303">
        <w:rPr>
          <w:rFonts w:eastAsia="Calibri"/>
          <w:noProof/>
          <w:lang w:eastAsia="en-US"/>
        </w:rPr>
        <w:t xml:space="preserve"> мјесеци</w:t>
      </w:r>
      <w:r w:rsidR="006C7731">
        <w:rPr>
          <w:rFonts w:eastAsia="Calibri"/>
          <w:noProof/>
          <w:lang w:eastAsia="en-US"/>
        </w:rPr>
        <w:t>.</w:t>
      </w:r>
    </w:p>
    <w:p w14:paraId="561156F3" w14:textId="1EF57FAA" w:rsidR="00EE4BFE" w:rsidRDefault="00F02303">
      <w:pPr>
        <w:spacing w:after="160" w:line="240" w:lineRule="auto"/>
        <w:jc w:val="both"/>
        <w:rPr>
          <w:rFonts w:eastAsia="Calibri"/>
          <w:noProof/>
          <w:lang w:eastAsia="en-US"/>
        </w:rPr>
      </w:pPr>
      <w:r w:rsidRPr="00F02303">
        <w:rPr>
          <w:rFonts w:eastAsia="Calibri"/>
          <w:noProof/>
          <w:lang w:eastAsia="en-US"/>
        </w:rPr>
        <w:t xml:space="preserve">Обрачун РСТФ-а обавља се примјеном конвенције стварнога броја дана, а у сваком кораку </w:t>
      </w:r>
      <w:r w:rsidR="00CA41A7">
        <w:rPr>
          <w:rFonts w:eastAsia="Calibri"/>
          <w:noProof/>
          <w:lang w:val="sr-Cyrl-RS" w:eastAsia="en-US"/>
        </w:rPr>
        <w:t>об</w:t>
      </w:r>
      <w:r w:rsidRPr="00F02303">
        <w:rPr>
          <w:rFonts w:eastAsia="Calibri"/>
          <w:noProof/>
          <w:lang w:eastAsia="en-US"/>
        </w:rPr>
        <w:t>рачуна сви бројеви исказују се на двије децимале. Да би се добила стопа изражена у постотку, овај износ множи се са</w:t>
      </w:r>
      <w:r w:rsidR="006C7731">
        <w:rPr>
          <w:rFonts w:eastAsia="Calibri"/>
          <w:noProof/>
          <w:lang w:eastAsia="en-US"/>
        </w:rPr>
        <w:t xml:space="preserve"> 100.</w:t>
      </w:r>
    </w:p>
    <w:p w14:paraId="72418F9A" w14:textId="77777777" w:rsidR="00EE4BFE" w:rsidRDefault="00EE4BFE">
      <w:pPr>
        <w:spacing w:line="240" w:lineRule="auto"/>
        <w:jc w:val="center"/>
        <w:rPr>
          <w:b/>
          <w:bCs/>
          <w:noProof/>
          <w:lang w:eastAsia="en-US"/>
        </w:rPr>
      </w:pPr>
    </w:p>
    <w:p w14:paraId="582EF34A" w14:textId="77777777" w:rsidR="00EE4BFE" w:rsidRDefault="00EE4BFE">
      <w:pPr>
        <w:spacing w:line="240" w:lineRule="auto"/>
        <w:jc w:val="center"/>
        <w:rPr>
          <w:b/>
          <w:bCs/>
          <w:noProof/>
          <w:lang w:eastAsia="en-US"/>
        </w:rPr>
      </w:pPr>
    </w:p>
    <w:p w14:paraId="1C3850E6" w14:textId="4FC8EF89" w:rsidR="00EE4BFE" w:rsidRDefault="00011515">
      <w:pPr>
        <w:spacing w:line="240" w:lineRule="auto"/>
        <w:contextualSpacing/>
        <w:jc w:val="center"/>
        <w:rPr>
          <w:b/>
          <w:bCs/>
          <w:noProof/>
          <w:lang w:eastAsia="en-US"/>
        </w:rPr>
      </w:pPr>
      <w:r>
        <w:rPr>
          <w:b/>
          <w:bCs/>
          <w:noProof/>
          <w:lang w:eastAsia="en-US"/>
        </w:rPr>
        <w:t>Члан</w:t>
      </w:r>
      <w:r w:rsidR="006C7731">
        <w:rPr>
          <w:b/>
          <w:bCs/>
          <w:noProof/>
          <w:lang w:eastAsia="en-US"/>
        </w:rPr>
        <w:t xml:space="preserve"> 7</w:t>
      </w:r>
    </w:p>
    <w:p w14:paraId="37845A6D" w14:textId="79C9121B" w:rsidR="00EE4BFE" w:rsidRDefault="006C7731">
      <w:pPr>
        <w:spacing w:line="240" w:lineRule="auto"/>
        <w:contextualSpacing/>
        <w:jc w:val="center"/>
        <w:rPr>
          <w:b/>
          <w:bCs/>
          <w:noProof/>
          <w:lang w:eastAsia="en-US"/>
        </w:rPr>
      </w:pPr>
      <w:r>
        <w:rPr>
          <w:b/>
          <w:bCs/>
          <w:noProof/>
          <w:lang w:eastAsia="en-US"/>
        </w:rPr>
        <w:t>(</w:t>
      </w:r>
      <w:r w:rsidR="00F02303">
        <w:rPr>
          <w:b/>
          <w:bCs/>
          <w:noProof/>
          <w:lang w:val="sr-Cyrl-RS" w:eastAsia="en-US"/>
        </w:rPr>
        <w:t>Објава</w:t>
      </w:r>
      <w:r>
        <w:rPr>
          <w:b/>
          <w:bCs/>
          <w:noProof/>
          <w:lang w:eastAsia="en-US"/>
        </w:rPr>
        <w:t>)</w:t>
      </w:r>
    </w:p>
    <w:p w14:paraId="6B8DDD63" w14:textId="77777777" w:rsidR="00EE4BFE" w:rsidRDefault="00EE4BFE">
      <w:pPr>
        <w:spacing w:line="240" w:lineRule="auto"/>
        <w:contextualSpacing/>
        <w:jc w:val="center"/>
        <w:rPr>
          <w:b/>
          <w:bCs/>
          <w:noProof/>
          <w:lang w:eastAsia="en-US"/>
        </w:rPr>
      </w:pPr>
    </w:p>
    <w:p w14:paraId="3C731E58" w14:textId="05D9E1DA" w:rsidR="00EE4BFE" w:rsidRDefault="00CA101F">
      <w:pPr>
        <w:spacing w:line="240" w:lineRule="auto"/>
        <w:contextualSpacing/>
        <w:jc w:val="both"/>
        <w:rPr>
          <w:noProof/>
          <w:lang w:eastAsia="en-US"/>
        </w:rPr>
      </w:pPr>
      <w:r w:rsidRPr="00CA101F">
        <w:rPr>
          <w:noProof/>
          <w:lang w:eastAsia="en-US"/>
        </w:rPr>
        <w:t xml:space="preserve">ЦББиХ ће на својој интернетској страници објавити ову </w:t>
      </w:r>
      <w:r>
        <w:rPr>
          <w:noProof/>
          <w:lang w:val="sr-Cyrl-RS" w:eastAsia="en-US"/>
        </w:rPr>
        <w:t>„</w:t>
      </w:r>
      <w:r w:rsidRPr="00CA101F">
        <w:rPr>
          <w:noProof/>
          <w:lang w:eastAsia="en-US"/>
        </w:rPr>
        <w:t>Методологију</w:t>
      </w:r>
      <w:r>
        <w:rPr>
          <w:noProof/>
          <w:lang w:val="sr-Cyrl-RS" w:eastAsia="en-US"/>
        </w:rPr>
        <w:t>“</w:t>
      </w:r>
      <w:r w:rsidRPr="00CA101F">
        <w:rPr>
          <w:noProof/>
          <w:lang w:eastAsia="en-US"/>
        </w:rPr>
        <w:t xml:space="preserve"> и све накнадне, евентуалне измјене и допуне </w:t>
      </w:r>
      <w:r>
        <w:rPr>
          <w:noProof/>
          <w:lang w:val="sr-Cyrl-RS" w:eastAsia="en-US"/>
        </w:rPr>
        <w:t>„</w:t>
      </w:r>
      <w:r w:rsidRPr="00CA101F">
        <w:rPr>
          <w:noProof/>
          <w:lang w:eastAsia="en-US"/>
        </w:rPr>
        <w:t>Методологије</w:t>
      </w:r>
      <w:r>
        <w:rPr>
          <w:noProof/>
          <w:lang w:val="sr-Cyrl-RS" w:eastAsia="en-US"/>
        </w:rPr>
        <w:t>“</w:t>
      </w:r>
      <w:r w:rsidR="006C7731">
        <w:rPr>
          <w:noProof/>
          <w:lang w:eastAsia="en-US"/>
        </w:rPr>
        <w:t xml:space="preserve">. </w:t>
      </w:r>
    </w:p>
    <w:p w14:paraId="275FE7B8" w14:textId="77777777" w:rsidR="00EE4BFE" w:rsidRDefault="00EE4BFE">
      <w:pPr>
        <w:pStyle w:val="CommentText"/>
        <w:spacing w:line="240" w:lineRule="auto"/>
        <w:jc w:val="both"/>
        <w:rPr>
          <w:noProof/>
          <w:sz w:val="24"/>
          <w:szCs w:val="24"/>
          <w:lang w:eastAsia="en-US"/>
        </w:rPr>
      </w:pPr>
    </w:p>
    <w:p w14:paraId="254937D7" w14:textId="1E967279" w:rsidR="00EE4BFE" w:rsidRDefault="00CA101F">
      <w:pPr>
        <w:pStyle w:val="CommentText"/>
        <w:spacing w:line="240" w:lineRule="auto"/>
        <w:jc w:val="both"/>
        <w:rPr>
          <w:noProof/>
          <w:sz w:val="24"/>
          <w:szCs w:val="24"/>
          <w:lang w:eastAsia="en-US"/>
        </w:rPr>
      </w:pPr>
      <w:r w:rsidRPr="00CA101F">
        <w:rPr>
          <w:noProof/>
          <w:sz w:val="24"/>
          <w:szCs w:val="24"/>
          <w:lang w:eastAsia="en-US"/>
        </w:rPr>
        <w:t>На основу података које, у договореном формату и према договореној динамици, достављају ФБА и АБРС, ЦББиХ објављује агрегиране податке за обрачун РСТФ3 (агрегирани подаци о трошковима извора финансирања и агрегирани подаци о изворима финансирања на које се ти трошкови односе), те обрачунате РСТФ3 за референтни квартал на својој интернетској страници</w:t>
      </w:r>
      <w:r w:rsidR="006C7731">
        <w:rPr>
          <w:noProof/>
          <w:sz w:val="24"/>
          <w:szCs w:val="24"/>
          <w:lang w:eastAsia="en-US"/>
        </w:rPr>
        <w:t xml:space="preserve">. </w:t>
      </w:r>
    </w:p>
    <w:p w14:paraId="04EFFD37" w14:textId="77777777" w:rsidR="00EE4BFE" w:rsidRDefault="00EE4BFE">
      <w:pPr>
        <w:pStyle w:val="CommentText"/>
        <w:spacing w:line="240" w:lineRule="auto"/>
        <w:jc w:val="both"/>
        <w:rPr>
          <w:noProof/>
          <w:sz w:val="24"/>
          <w:szCs w:val="24"/>
          <w:lang w:eastAsia="en-US"/>
        </w:rPr>
      </w:pPr>
    </w:p>
    <w:p w14:paraId="05D1CCC0" w14:textId="12BFCE5A" w:rsidR="00EE4BFE" w:rsidRDefault="00CA101F">
      <w:pPr>
        <w:pStyle w:val="CommentText"/>
        <w:spacing w:line="240" w:lineRule="auto"/>
        <w:jc w:val="both"/>
        <w:rPr>
          <w:noProof/>
          <w:sz w:val="24"/>
          <w:szCs w:val="24"/>
          <w:lang w:eastAsia="en-US"/>
        </w:rPr>
      </w:pPr>
      <w:r w:rsidRPr="00CA101F">
        <w:rPr>
          <w:noProof/>
          <w:sz w:val="24"/>
          <w:szCs w:val="24"/>
          <w:lang w:eastAsia="en-US"/>
        </w:rPr>
        <w:t>С обзиром на то да је РСТФ статистички показатељ, за аналитичке потребе ЦББиХ, ФБА и АБРС се рачунају сва три РСТФ-а, док се за потрбе коришћења од стране банака објављивљује само РСТФ3 за двије валуте (КМ и EUR) према дефинисаним периодима 3, 6 и 12 мјесеци. Подаци и референтне стопе објављују се квартално, најкасније 45 дана по истеку квартала</w:t>
      </w:r>
      <w:r w:rsidR="006C7731">
        <w:rPr>
          <w:noProof/>
          <w:sz w:val="24"/>
          <w:szCs w:val="24"/>
          <w:lang w:eastAsia="en-US"/>
        </w:rPr>
        <w:t xml:space="preserve">. </w:t>
      </w:r>
    </w:p>
    <w:p w14:paraId="5CA883D7" w14:textId="77777777" w:rsidR="00EE4BFE" w:rsidRDefault="00EE4BFE">
      <w:pPr>
        <w:spacing w:after="160" w:line="240" w:lineRule="auto"/>
        <w:contextualSpacing/>
        <w:jc w:val="both"/>
        <w:rPr>
          <w:noProof/>
          <w:lang w:eastAsia="en-US"/>
        </w:rPr>
      </w:pPr>
    </w:p>
    <w:p w14:paraId="47D6C1BF" w14:textId="570514E3" w:rsidR="00EE4BFE" w:rsidRDefault="005D5021">
      <w:pPr>
        <w:spacing w:after="160" w:line="240" w:lineRule="auto"/>
        <w:contextualSpacing/>
        <w:jc w:val="both"/>
        <w:rPr>
          <w:noProof/>
          <w:lang w:eastAsia="en-US"/>
        </w:rPr>
      </w:pPr>
      <w:r w:rsidRPr="005D5021">
        <w:rPr>
          <w:noProof/>
          <w:lang w:eastAsia="en-US"/>
        </w:rPr>
        <w:t>Методологија је прикладна за примјену на ентитетском нивоу и ФБА и АБРС имају могућност да обрачунају РСТФ на ентитетском нивоу, на основу података за банке из припадајућег ентитета</w:t>
      </w:r>
      <w:r w:rsidR="006C7731">
        <w:rPr>
          <w:noProof/>
          <w:lang w:eastAsia="en-US"/>
        </w:rPr>
        <w:t xml:space="preserve">.  </w:t>
      </w:r>
    </w:p>
    <w:p w14:paraId="14D392C8" w14:textId="77777777" w:rsidR="006C7731" w:rsidRDefault="006C7731">
      <w:pPr>
        <w:spacing w:line="240" w:lineRule="auto"/>
        <w:contextualSpacing/>
        <w:jc w:val="center"/>
        <w:rPr>
          <w:b/>
        </w:rPr>
      </w:pPr>
    </w:p>
    <w:p w14:paraId="13B2C6B2" w14:textId="3AA741E9" w:rsidR="00EE4BFE" w:rsidRDefault="00011515">
      <w:pPr>
        <w:spacing w:line="240" w:lineRule="auto"/>
        <w:contextualSpacing/>
        <w:jc w:val="center"/>
        <w:rPr>
          <w:b/>
        </w:rPr>
      </w:pPr>
      <w:r>
        <w:rPr>
          <w:b/>
        </w:rPr>
        <w:t>Члан</w:t>
      </w:r>
      <w:r w:rsidR="006C7731">
        <w:rPr>
          <w:b/>
        </w:rPr>
        <w:t xml:space="preserve"> 8</w:t>
      </w:r>
    </w:p>
    <w:p w14:paraId="4C7D4B71" w14:textId="02A1A7F7" w:rsidR="00EE4BFE" w:rsidRDefault="006C7731">
      <w:pPr>
        <w:spacing w:line="240" w:lineRule="auto"/>
        <w:contextualSpacing/>
        <w:jc w:val="center"/>
        <w:rPr>
          <w:b/>
        </w:rPr>
      </w:pPr>
      <w:r>
        <w:rPr>
          <w:b/>
        </w:rPr>
        <w:t>(</w:t>
      </w:r>
      <w:r w:rsidR="005D5021" w:rsidRPr="005D5021">
        <w:rPr>
          <w:b/>
        </w:rPr>
        <w:t>Сарадња агенција за банкарство и ЦББиХ</w:t>
      </w:r>
      <w:r>
        <w:rPr>
          <w:b/>
        </w:rPr>
        <w:t>)</w:t>
      </w:r>
    </w:p>
    <w:p w14:paraId="7DC41167" w14:textId="77777777" w:rsidR="00EE4BFE" w:rsidRDefault="00EE4BFE">
      <w:pPr>
        <w:spacing w:line="240" w:lineRule="auto"/>
        <w:contextualSpacing/>
        <w:jc w:val="center"/>
        <w:rPr>
          <w:b/>
          <w:bCs/>
          <w:noProof/>
          <w:lang w:eastAsia="en-US"/>
        </w:rPr>
      </w:pPr>
    </w:p>
    <w:p w14:paraId="65DC9713" w14:textId="52B46816" w:rsidR="00EE4BFE" w:rsidRDefault="005D5021">
      <w:pPr>
        <w:spacing w:line="240" w:lineRule="auto"/>
        <w:contextualSpacing/>
        <w:jc w:val="both"/>
      </w:pPr>
      <w:r w:rsidRPr="005D5021">
        <w:t xml:space="preserve">Сарадња се одвија на основу </w:t>
      </w:r>
      <w:r>
        <w:rPr>
          <w:lang w:val="sr-Cyrl-RS"/>
        </w:rPr>
        <w:t>„</w:t>
      </w:r>
      <w:r w:rsidRPr="005D5021">
        <w:t>Меморандума о принципима координације банкарске супервизије и сарадњи и размјени података и информација</w:t>
      </w:r>
      <w:r>
        <w:rPr>
          <w:lang w:val="sr-Cyrl-RS"/>
        </w:rPr>
        <w:t>“</w:t>
      </w:r>
      <w:r w:rsidRPr="005D5021">
        <w:t xml:space="preserve"> закљученом између ЦББиХ, ФБА и АБРС број: 01-897/08, број: 01-2-1170/08 и број</w:t>
      </w:r>
      <w:r w:rsidR="006C7731">
        <w:t xml:space="preserve">: 01-691. </w:t>
      </w:r>
    </w:p>
    <w:p w14:paraId="5A9C9B14" w14:textId="77777777" w:rsidR="00EE4BFE" w:rsidRDefault="00EE4BFE">
      <w:pPr>
        <w:spacing w:line="240" w:lineRule="auto"/>
        <w:contextualSpacing/>
        <w:jc w:val="both"/>
      </w:pPr>
    </w:p>
    <w:p w14:paraId="44F62CAD" w14:textId="481BD334" w:rsidR="00EE4BFE" w:rsidRDefault="005D5021">
      <w:pPr>
        <w:spacing w:line="240" w:lineRule="auto"/>
        <w:contextualSpacing/>
        <w:jc w:val="both"/>
      </w:pPr>
      <w:bookmarkStart w:id="3" w:name="_Hlk132896399"/>
      <w:r w:rsidRPr="005D5021">
        <w:t>ЦББиХ ће у складу с Методологијом редовно, квартално, вршити обрачун изабраних РСТФ-а, након што јој буду достављени подаци за крај извјештајног периода. ФБА и АБРС ће ЦББиХ благовремено доставити све неопходне податке по појединачним банкама за обрачун РСТФ-а на обрасцу који су дефинисале и усагласиле ентитетске агенције за банкарство</w:t>
      </w:r>
      <w:r w:rsidR="006C7731">
        <w:t>.</w:t>
      </w:r>
    </w:p>
    <w:p w14:paraId="331CBD98" w14:textId="77777777" w:rsidR="00EE4BFE" w:rsidRDefault="00EE4BFE">
      <w:pPr>
        <w:spacing w:line="240" w:lineRule="auto"/>
        <w:contextualSpacing/>
        <w:jc w:val="both"/>
      </w:pPr>
    </w:p>
    <w:bookmarkEnd w:id="3"/>
    <w:p w14:paraId="70A23467" w14:textId="50A657DE" w:rsidR="00EE4BFE" w:rsidRDefault="005D5021">
      <w:pPr>
        <w:spacing w:line="240" w:lineRule="auto"/>
        <w:contextualSpacing/>
        <w:jc w:val="both"/>
      </w:pPr>
      <w:r w:rsidRPr="005D5021">
        <w:t xml:space="preserve">Банке су одговорне за контролу и тачност улазних података. У </w:t>
      </w:r>
      <w:proofErr w:type="spellStart"/>
      <w:r w:rsidRPr="005D5021">
        <w:t>циљу</w:t>
      </w:r>
      <w:proofErr w:type="spellEnd"/>
      <w:r w:rsidRPr="005D5021">
        <w:t xml:space="preserve"> </w:t>
      </w:r>
      <w:proofErr w:type="spellStart"/>
      <w:r w:rsidRPr="005D5021">
        <w:t>осигурања</w:t>
      </w:r>
      <w:proofErr w:type="spellEnd"/>
      <w:r w:rsidRPr="005D5021">
        <w:t xml:space="preserve"> </w:t>
      </w:r>
      <w:proofErr w:type="spellStart"/>
      <w:r w:rsidRPr="005D5021">
        <w:t>поузданости</w:t>
      </w:r>
      <w:proofErr w:type="spellEnd"/>
      <w:r w:rsidRPr="005D5021">
        <w:t xml:space="preserve"> </w:t>
      </w:r>
      <w:proofErr w:type="spellStart"/>
      <w:r w:rsidRPr="005D5021">
        <w:t>улазних</w:t>
      </w:r>
      <w:proofErr w:type="spellEnd"/>
      <w:r w:rsidRPr="005D5021">
        <w:t xml:space="preserve"> </w:t>
      </w:r>
      <w:proofErr w:type="spellStart"/>
      <w:r w:rsidRPr="005D5021">
        <w:t>податка</w:t>
      </w:r>
      <w:proofErr w:type="spellEnd"/>
      <w:r w:rsidRPr="005D5021">
        <w:t xml:space="preserve"> </w:t>
      </w:r>
      <w:proofErr w:type="spellStart"/>
      <w:r w:rsidRPr="005D5021">
        <w:t>коришћених</w:t>
      </w:r>
      <w:proofErr w:type="spellEnd"/>
      <w:r w:rsidRPr="005D5021">
        <w:t xml:space="preserve"> </w:t>
      </w:r>
      <w:proofErr w:type="spellStart"/>
      <w:r w:rsidRPr="005D5021">
        <w:t>за</w:t>
      </w:r>
      <w:proofErr w:type="spellEnd"/>
      <w:r w:rsidRPr="005D5021">
        <w:t xml:space="preserve"> </w:t>
      </w:r>
      <w:proofErr w:type="spellStart"/>
      <w:r w:rsidR="00A82736" w:rsidRPr="00361750">
        <w:t>об</w:t>
      </w:r>
      <w:r w:rsidRPr="005D5021">
        <w:t>рачун</w:t>
      </w:r>
      <w:proofErr w:type="spellEnd"/>
      <w:r w:rsidRPr="005D5021">
        <w:t xml:space="preserve"> РСФТ-а, </w:t>
      </w:r>
      <w:proofErr w:type="spellStart"/>
      <w:r w:rsidRPr="005D5021">
        <w:t>ентитетске</w:t>
      </w:r>
      <w:proofErr w:type="spellEnd"/>
      <w:r w:rsidRPr="005D5021">
        <w:t xml:space="preserve"> </w:t>
      </w:r>
      <w:proofErr w:type="spellStart"/>
      <w:r w:rsidRPr="005D5021">
        <w:t>агенције</w:t>
      </w:r>
      <w:proofErr w:type="spellEnd"/>
      <w:r w:rsidR="00361750" w:rsidRPr="00361750">
        <w:t xml:space="preserve"> </w:t>
      </w:r>
      <w:proofErr w:type="spellStart"/>
      <w:r w:rsidR="00361750" w:rsidRPr="00361750">
        <w:t>за</w:t>
      </w:r>
      <w:proofErr w:type="spellEnd"/>
      <w:r w:rsidR="00361750" w:rsidRPr="00361750">
        <w:t xml:space="preserve"> </w:t>
      </w:r>
      <w:proofErr w:type="spellStart"/>
      <w:r w:rsidR="00361750" w:rsidRPr="00361750">
        <w:t>банкарство</w:t>
      </w:r>
      <w:proofErr w:type="spellEnd"/>
      <w:r w:rsidRPr="00361750">
        <w:t xml:space="preserve"> </w:t>
      </w:r>
      <w:proofErr w:type="spellStart"/>
      <w:r w:rsidRPr="005D5021">
        <w:t>ће</w:t>
      </w:r>
      <w:proofErr w:type="spellEnd"/>
      <w:r w:rsidRPr="005D5021">
        <w:t xml:space="preserve"> </w:t>
      </w:r>
      <w:proofErr w:type="spellStart"/>
      <w:r w:rsidRPr="005D5021">
        <w:t>успоставити</w:t>
      </w:r>
      <w:proofErr w:type="spellEnd"/>
      <w:r w:rsidRPr="005D5021">
        <w:t xml:space="preserve"> </w:t>
      </w:r>
      <w:proofErr w:type="spellStart"/>
      <w:r w:rsidRPr="005D5021">
        <w:t>процес</w:t>
      </w:r>
      <w:proofErr w:type="spellEnd"/>
      <w:r w:rsidRPr="005D5021">
        <w:t xml:space="preserve"> </w:t>
      </w:r>
      <w:proofErr w:type="spellStart"/>
      <w:r w:rsidRPr="005D5021">
        <w:t>логичке</w:t>
      </w:r>
      <w:proofErr w:type="spellEnd"/>
      <w:r w:rsidRPr="005D5021">
        <w:t xml:space="preserve"> </w:t>
      </w:r>
      <w:proofErr w:type="spellStart"/>
      <w:r w:rsidRPr="005D5021">
        <w:t>провјере</w:t>
      </w:r>
      <w:proofErr w:type="spellEnd"/>
      <w:r w:rsidRPr="005D5021">
        <w:t xml:space="preserve"> </w:t>
      </w:r>
      <w:proofErr w:type="spellStart"/>
      <w:r w:rsidRPr="005D5021">
        <w:t>података</w:t>
      </w:r>
      <w:proofErr w:type="spellEnd"/>
      <w:r w:rsidRPr="005D5021">
        <w:t>. Ако у тренутку обрачуна подаци недостају, не задовољавају логичке контроле или је на други начин упитна поузданост података, употријебиће се одговарајући подаци из квартала који претходи кварталу обрачуна</w:t>
      </w:r>
      <w:r w:rsidR="006C7731">
        <w:t>.</w:t>
      </w:r>
    </w:p>
    <w:p w14:paraId="19C13880" w14:textId="77777777" w:rsidR="00EE4BFE" w:rsidRDefault="00EE4BFE">
      <w:pPr>
        <w:spacing w:line="240" w:lineRule="auto"/>
        <w:contextualSpacing/>
        <w:jc w:val="both"/>
      </w:pPr>
    </w:p>
    <w:p w14:paraId="24A13B54" w14:textId="335ECBE4" w:rsidR="00EE4BFE" w:rsidRDefault="005D5021">
      <w:pPr>
        <w:spacing w:line="240" w:lineRule="auto"/>
        <w:contextualSpacing/>
        <w:jc w:val="both"/>
      </w:pPr>
      <w:r w:rsidRPr="005D5021">
        <w:t>Сарадња између агенција за банкарство и ЦББиХ мора се одвијати тако да се води рачуна о заштити повјерљивости података и сви потписници се обавезују да ће исте чувати као пословну тајну</w:t>
      </w:r>
      <w:r w:rsidR="006C7731">
        <w:t xml:space="preserve">. </w:t>
      </w:r>
    </w:p>
    <w:p w14:paraId="04B21633" w14:textId="77777777" w:rsidR="006C7731" w:rsidRDefault="006C7731">
      <w:pPr>
        <w:spacing w:line="240" w:lineRule="auto"/>
        <w:contextualSpacing/>
        <w:jc w:val="center"/>
        <w:rPr>
          <w:b/>
          <w:bCs/>
          <w:noProof/>
          <w:lang w:eastAsia="en-US"/>
        </w:rPr>
      </w:pPr>
    </w:p>
    <w:p w14:paraId="3F0A5122" w14:textId="77777777" w:rsidR="006C7731" w:rsidRDefault="006C7731">
      <w:pPr>
        <w:spacing w:line="240" w:lineRule="auto"/>
        <w:contextualSpacing/>
        <w:jc w:val="center"/>
        <w:rPr>
          <w:b/>
          <w:bCs/>
          <w:noProof/>
          <w:lang w:eastAsia="en-US"/>
        </w:rPr>
      </w:pPr>
    </w:p>
    <w:p w14:paraId="09D75E72" w14:textId="77777777" w:rsidR="006C7731" w:rsidRDefault="006C7731">
      <w:pPr>
        <w:spacing w:line="240" w:lineRule="auto"/>
        <w:contextualSpacing/>
        <w:jc w:val="center"/>
        <w:rPr>
          <w:b/>
          <w:bCs/>
          <w:noProof/>
          <w:lang w:eastAsia="en-US"/>
        </w:rPr>
      </w:pPr>
    </w:p>
    <w:p w14:paraId="264EEDC5" w14:textId="19F7A2B0" w:rsidR="00EE4BFE" w:rsidRDefault="00011515">
      <w:pPr>
        <w:spacing w:line="240" w:lineRule="auto"/>
        <w:contextualSpacing/>
        <w:jc w:val="center"/>
        <w:rPr>
          <w:b/>
          <w:bCs/>
          <w:noProof/>
          <w:lang w:eastAsia="en-US"/>
        </w:rPr>
      </w:pPr>
      <w:r>
        <w:rPr>
          <w:b/>
          <w:bCs/>
          <w:noProof/>
          <w:lang w:eastAsia="en-US"/>
        </w:rPr>
        <w:t>Члан</w:t>
      </w:r>
      <w:r w:rsidR="006C7731">
        <w:rPr>
          <w:b/>
          <w:bCs/>
          <w:noProof/>
          <w:lang w:eastAsia="en-US"/>
        </w:rPr>
        <w:t xml:space="preserve"> 9</w:t>
      </w:r>
    </w:p>
    <w:p w14:paraId="3D045471" w14:textId="57966E9F" w:rsidR="00EE4BFE" w:rsidRDefault="006C7731">
      <w:pPr>
        <w:spacing w:line="240" w:lineRule="auto"/>
        <w:contextualSpacing/>
        <w:jc w:val="center"/>
        <w:rPr>
          <w:b/>
          <w:bCs/>
          <w:noProof/>
          <w:lang w:eastAsia="en-US"/>
        </w:rPr>
      </w:pPr>
      <w:r>
        <w:rPr>
          <w:b/>
          <w:bCs/>
          <w:noProof/>
          <w:lang w:eastAsia="en-US"/>
        </w:rPr>
        <w:t>(</w:t>
      </w:r>
      <w:r w:rsidR="00011515" w:rsidRPr="00011515">
        <w:rPr>
          <w:b/>
          <w:bCs/>
          <w:noProof/>
          <w:lang w:eastAsia="en-US"/>
        </w:rPr>
        <w:t>Завршне одредбе</w:t>
      </w:r>
      <w:r>
        <w:rPr>
          <w:b/>
          <w:bCs/>
          <w:noProof/>
          <w:lang w:eastAsia="en-US"/>
        </w:rPr>
        <w:t>)</w:t>
      </w:r>
    </w:p>
    <w:p w14:paraId="6A283D87" w14:textId="77777777" w:rsidR="00EE4BFE" w:rsidRDefault="00EE4BFE">
      <w:pPr>
        <w:spacing w:line="240" w:lineRule="auto"/>
        <w:contextualSpacing/>
        <w:jc w:val="center"/>
        <w:rPr>
          <w:b/>
          <w:bCs/>
          <w:noProof/>
          <w:lang w:eastAsia="en-US"/>
        </w:rPr>
      </w:pPr>
    </w:p>
    <w:p w14:paraId="24CD5304" w14:textId="57AF7425" w:rsidR="00EE4BFE" w:rsidRDefault="005D5021">
      <w:pPr>
        <w:spacing w:line="240" w:lineRule="auto"/>
        <w:contextualSpacing/>
        <w:jc w:val="both"/>
      </w:pPr>
      <w:r w:rsidRPr="005D5021">
        <w:t xml:space="preserve">Ова </w:t>
      </w:r>
      <w:r>
        <w:rPr>
          <w:lang w:val="sr-Cyrl-RS"/>
        </w:rPr>
        <w:t>„</w:t>
      </w:r>
      <w:r w:rsidRPr="005D5021">
        <w:t>Методологија</w:t>
      </w:r>
      <w:r>
        <w:rPr>
          <w:lang w:val="sr-Cyrl-RS"/>
        </w:rPr>
        <w:t>“</w:t>
      </w:r>
      <w:r w:rsidRPr="005D5021">
        <w:t xml:space="preserve"> подржана је на другом састанку Координације банкарске супервизије одржаном дана 29. 06. 2023. године и може се мијењати уз пуну сагласност ЦББиХ, ФБА и АБРС. Престанак важења </w:t>
      </w:r>
      <w:r>
        <w:rPr>
          <w:lang w:val="sr-Cyrl-RS"/>
        </w:rPr>
        <w:t>„</w:t>
      </w:r>
      <w:r w:rsidRPr="005D5021">
        <w:t>Методологије</w:t>
      </w:r>
      <w:r>
        <w:rPr>
          <w:lang w:val="sr-Cyrl-RS"/>
        </w:rPr>
        <w:t>“</w:t>
      </w:r>
      <w:r w:rsidRPr="005D5021">
        <w:t xml:space="preserve"> мора бити јасно и видљиво искомунициран на интернетској страници ЦББиХ</w:t>
      </w:r>
      <w:r w:rsidR="006C7731">
        <w:t>.</w:t>
      </w:r>
    </w:p>
    <w:p w14:paraId="73F6744D" w14:textId="77777777" w:rsidR="00EE4BFE" w:rsidRDefault="00EE4BFE">
      <w:pPr>
        <w:spacing w:line="240" w:lineRule="auto"/>
        <w:contextualSpacing/>
        <w:jc w:val="both"/>
      </w:pPr>
    </w:p>
    <w:p w14:paraId="50D8A27C" w14:textId="79C102BB" w:rsidR="00EE4BFE" w:rsidRDefault="00084BDD">
      <w:pPr>
        <w:spacing w:line="240" w:lineRule="auto"/>
        <w:contextualSpacing/>
        <w:jc w:val="both"/>
      </w:pPr>
      <w:r w:rsidRPr="00084BDD">
        <w:t>Ова Методологија ступа на снагу даном усвајања исте</w:t>
      </w:r>
      <w:r w:rsidR="006C7731" w:rsidRPr="006C7731">
        <w:t>.</w:t>
      </w:r>
    </w:p>
    <w:p w14:paraId="21DE5A45" w14:textId="77777777" w:rsidR="00EE4BFE" w:rsidRDefault="00EE4BFE">
      <w:pPr>
        <w:spacing w:before="120" w:after="240"/>
        <w:jc w:val="center"/>
      </w:pPr>
    </w:p>
    <w:p w14:paraId="6A39E021" w14:textId="77777777" w:rsidR="00EE4BFE" w:rsidRDefault="00EE4BFE">
      <w:pPr>
        <w:spacing w:before="120" w:after="120"/>
        <w:ind w:left="2832" w:firstLine="708"/>
        <w:jc w:val="both"/>
      </w:pPr>
    </w:p>
    <w:p w14:paraId="495854BD" w14:textId="0173BEC3" w:rsidR="00EE4BFE" w:rsidRDefault="00084BDD" w:rsidP="00084BDD">
      <w:pPr>
        <w:spacing w:before="120" w:after="120"/>
        <w:ind w:left="2832"/>
        <w:jc w:val="both"/>
      </w:pPr>
      <w:r w:rsidRPr="00084BDD">
        <w:t>Предсједавајући Координације банкарске супервизије</w:t>
      </w:r>
    </w:p>
    <w:p w14:paraId="5CB7AF13" w14:textId="48F20D64" w:rsidR="00EE4BFE" w:rsidRPr="00084BDD" w:rsidRDefault="00084BDD">
      <w:pPr>
        <w:spacing w:before="120" w:after="120"/>
        <w:ind w:left="4248" w:firstLine="708"/>
        <w:jc w:val="both"/>
        <w:rPr>
          <w:lang w:val="sr-Cyrl-RS"/>
        </w:rPr>
      </w:pPr>
      <w:r>
        <w:rPr>
          <w:lang w:val="sr-Cyrl-RS"/>
        </w:rPr>
        <w:t>Др</w:t>
      </w:r>
      <w:r>
        <w:t xml:space="preserve"> </w:t>
      </w:r>
      <w:r w:rsidRPr="00084BDD">
        <w:t>Сенад Софтић, гувернер</w:t>
      </w:r>
    </w:p>
    <w:p w14:paraId="0DC452A2" w14:textId="77777777" w:rsidR="00EE4BFE" w:rsidRDefault="00EE4BFE">
      <w:pPr>
        <w:spacing w:before="120" w:after="120"/>
        <w:ind w:left="3540" w:firstLine="708"/>
        <w:jc w:val="both"/>
      </w:pPr>
    </w:p>
    <w:p w14:paraId="3FA2C574" w14:textId="77777777" w:rsidR="00EE4BFE" w:rsidRDefault="006C7731">
      <w:pPr>
        <w:spacing w:before="120" w:after="120"/>
        <w:ind w:left="3540" w:firstLine="708"/>
        <w:jc w:val="both"/>
      </w:pPr>
      <w:r>
        <w:t>_____________________________</w:t>
      </w:r>
    </w:p>
    <w:p w14:paraId="627DBA3F" w14:textId="77777777" w:rsidR="00EE4BFE" w:rsidRDefault="00EE4BFE">
      <w:pPr>
        <w:spacing w:before="120" w:after="120"/>
        <w:jc w:val="both"/>
      </w:pPr>
    </w:p>
    <w:p w14:paraId="0C5EEB31" w14:textId="77777777" w:rsidR="00EE4BFE" w:rsidRDefault="00EE4BFE">
      <w:pPr>
        <w:spacing w:before="120" w:after="120"/>
        <w:jc w:val="both"/>
      </w:pPr>
    </w:p>
    <w:p w14:paraId="30716449" w14:textId="418655AA" w:rsidR="00EE4BFE" w:rsidRDefault="00084BDD">
      <w:pPr>
        <w:spacing w:before="120" w:after="120"/>
        <w:jc w:val="both"/>
      </w:pPr>
      <w:r>
        <w:rPr>
          <w:lang w:val="sr-Cyrl-RS"/>
        </w:rPr>
        <w:t>Број</w:t>
      </w:r>
      <w:r w:rsidR="006C7731">
        <w:t>: ________________/23</w:t>
      </w:r>
    </w:p>
    <w:p w14:paraId="092101D1" w14:textId="374F4C24" w:rsidR="00EE4BFE" w:rsidRPr="00084BDD" w:rsidRDefault="00084BDD">
      <w:pPr>
        <w:spacing w:before="120" w:after="120"/>
        <w:jc w:val="both"/>
        <w:rPr>
          <w:lang w:val="sr-Cyrl-RS"/>
        </w:rPr>
      </w:pPr>
      <w:r>
        <w:rPr>
          <w:lang w:val="sr-Cyrl-RS"/>
        </w:rPr>
        <w:t>Сарајево</w:t>
      </w:r>
      <w:r w:rsidR="006C7731">
        <w:t xml:space="preserve">, ______ 2023. </w:t>
      </w:r>
      <w:r>
        <w:rPr>
          <w:lang w:val="sr-Cyrl-RS"/>
        </w:rPr>
        <w:t>године</w:t>
      </w:r>
    </w:p>
    <w:sectPr w:rsidR="00EE4BFE" w:rsidRPr="00084BDD" w:rsidSect="009A5F5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DFB0" w14:textId="77777777" w:rsidR="008A1831" w:rsidRDefault="008A1831">
      <w:r>
        <w:separator/>
      </w:r>
    </w:p>
  </w:endnote>
  <w:endnote w:type="continuationSeparator" w:id="0">
    <w:p w14:paraId="29B655FD" w14:textId="77777777" w:rsidR="008A1831" w:rsidRDefault="008A1831">
      <w:r>
        <w:continuationSeparator/>
      </w:r>
    </w:p>
  </w:endnote>
  <w:endnote w:type="continuationNotice" w:id="1">
    <w:p w14:paraId="4AFDC7E0" w14:textId="77777777" w:rsidR="008A1831" w:rsidRDefault="008A18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8264" w14:textId="77777777" w:rsidR="00EE4BFE" w:rsidRDefault="00EE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GoBack"/>
  <w:bookmarkEnd w:id="4"/>
  <w:p w14:paraId="1E8DC6B2" w14:textId="77777777" w:rsidR="00EE4BFE" w:rsidRDefault="006C773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F504" w14:textId="77777777" w:rsidR="00EE4BFE" w:rsidRDefault="00EE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020D" w14:textId="77777777" w:rsidR="008A1831" w:rsidRDefault="008A1831">
      <w:r>
        <w:separator/>
      </w:r>
    </w:p>
  </w:footnote>
  <w:footnote w:type="continuationSeparator" w:id="0">
    <w:p w14:paraId="67A098A3" w14:textId="77777777" w:rsidR="008A1831" w:rsidRDefault="008A1831">
      <w:r>
        <w:continuationSeparator/>
      </w:r>
    </w:p>
  </w:footnote>
  <w:footnote w:type="continuationNotice" w:id="1">
    <w:p w14:paraId="5A5E151D" w14:textId="77777777" w:rsidR="008A1831" w:rsidRDefault="008A18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3B42" w14:textId="77777777" w:rsidR="00EE4BFE" w:rsidRDefault="00EE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893E" w14:textId="77777777" w:rsidR="00EE4BFE" w:rsidRDefault="00EE4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4234" w14:textId="77777777" w:rsidR="00EE4BFE" w:rsidRDefault="00EE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85"/>
    <w:multiLevelType w:val="hybridMultilevel"/>
    <w:tmpl w:val="750A6B18"/>
    <w:lvl w:ilvl="0" w:tplc="E54AC3E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41B2C97"/>
    <w:multiLevelType w:val="hybridMultilevel"/>
    <w:tmpl w:val="4C70DCD6"/>
    <w:lvl w:ilvl="0" w:tplc="C162615E">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285EC1"/>
    <w:multiLevelType w:val="hybridMultilevel"/>
    <w:tmpl w:val="D5EC4C22"/>
    <w:lvl w:ilvl="0" w:tplc="E54AC3E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66626EB"/>
    <w:multiLevelType w:val="hybridMultilevel"/>
    <w:tmpl w:val="9588120C"/>
    <w:lvl w:ilvl="0" w:tplc="C5C00042">
      <w:start w:val="1"/>
      <w:numFmt w:val="bullet"/>
      <w:lvlText w:val=""/>
      <w:lvlJc w:val="left"/>
      <w:pPr>
        <w:ind w:left="720" w:hanging="360"/>
      </w:pPr>
      <w:rPr>
        <w:rFonts w:ascii="Symbol" w:hAnsi="Symbol"/>
      </w:rPr>
    </w:lvl>
    <w:lvl w:ilvl="1" w:tplc="6080AE24">
      <w:start w:val="1"/>
      <w:numFmt w:val="bullet"/>
      <w:lvlText w:val=""/>
      <w:lvlJc w:val="left"/>
      <w:pPr>
        <w:ind w:left="720" w:hanging="360"/>
      </w:pPr>
      <w:rPr>
        <w:rFonts w:ascii="Symbol" w:hAnsi="Symbol"/>
      </w:rPr>
    </w:lvl>
    <w:lvl w:ilvl="2" w:tplc="43A0DD6E">
      <w:start w:val="1"/>
      <w:numFmt w:val="bullet"/>
      <w:lvlText w:val=""/>
      <w:lvlJc w:val="left"/>
      <w:pPr>
        <w:ind w:left="720" w:hanging="360"/>
      </w:pPr>
      <w:rPr>
        <w:rFonts w:ascii="Symbol" w:hAnsi="Symbol"/>
      </w:rPr>
    </w:lvl>
    <w:lvl w:ilvl="3" w:tplc="7CF43720">
      <w:start w:val="1"/>
      <w:numFmt w:val="bullet"/>
      <w:lvlText w:val=""/>
      <w:lvlJc w:val="left"/>
      <w:pPr>
        <w:ind w:left="720" w:hanging="360"/>
      </w:pPr>
      <w:rPr>
        <w:rFonts w:ascii="Symbol" w:hAnsi="Symbol"/>
      </w:rPr>
    </w:lvl>
    <w:lvl w:ilvl="4" w:tplc="3C840C56">
      <w:start w:val="1"/>
      <w:numFmt w:val="bullet"/>
      <w:lvlText w:val=""/>
      <w:lvlJc w:val="left"/>
      <w:pPr>
        <w:ind w:left="720" w:hanging="360"/>
      </w:pPr>
      <w:rPr>
        <w:rFonts w:ascii="Symbol" w:hAnsi="Symbol"/>
      </w:rPr>
    </w:lvl>
    <w:lvl w:ilvl="5" w:tplc="C1AC7D6E">
      <w:start w:val="1"/>
      <w:numFmt w:val="bullet"/>
      <w:lvlText w:val=""/>
      <w:lvlJc w:val="left"/>
      <w:pPr>
        <w:ind w:left="720" w:hanging="360"/>
      </w:pPr>
      <w:rPr>
        <w:rFonts w:ascii="Symbol" w:hAnsi="Symbol"/>
      </w:rPr>
    </w:lvl>
    <w:lvl w:ilvl="6" w:tplc="55F28698">
      <w:start w:val="1"/>
      <w:numFmt w:val="bullet"/>
      <w:lvlText w:val=""/>
      <w:lvlJc w:val="left"/>
      <w:pPr>
        <w:ind w:left="720" w:hanging="360"/>
      </w:pPr>
      <w:rPr>
        <w:rFonts w:ascii="Symbol" w:hAnsi="Symbol"/>
      </w:rPr>
    </w:lvl>
    <w:lvl w:ilvl="7" w:tplc="F2B831E4">
      <w:start w:val="1"/>
      <w:numFmt w:val="bullet"/>
      <w:lvlText w:val=""/>
      <w:lvlJc w:val="left"/>
      <w:pPr>
        <w:ind w:left="720" w:hanging="360"/>
      </w:pPr>
      <w:rPr>
        <w:rFonts w:ascii="Symbol" w:hAnsi="Symbol"/>
      </w:rPr>
    </w:lvl>
    <w:lvl w:ilvl="8" w:tplc="684EDC9E">
      <w:start w:val="1"/>
      <w:numFmt w:val="bullet"/>
      <w:lvlText w:val=""/>
      <w:lvlJc w:val="left"/>
      <w:pPr>
        <w:ind w:left="720" w:hanging="360"/>
      </w:pPr>
      <w:rPr>
        <w:rFonts w:ascii="Symbol" w:hAnsi="Symbol"/>
      </w:rPr>
    </w:lvl>
  </w:abstractNum>
  <w:abstractNum w:abstractNumId="4" w15:restartNumberingAfterBreak="0">
    <w:nsid w:val="0AAC1962"/>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15:restartNumberingAfterBreak="0">
    <w:nsid w:val="0B1F4FAD"/>
    <w:multiLevelType w:val="hybridMultilevel"/>
    <w:tmpl w:val="72106EFC"/>
    <w:lvl w:ilvl="0" w:tplc="0734D9DC">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BEA3281"/>
    <w:multiLevelType w:val="hybridMultilevel"/>
    <w:tmpl w:val="A2AAFDB4"/>
    <w:lvl w:ilvl="0" w:tplc="8DB4B878">
      <w:start w:val="1"/>
      <w:numFmt w:val="bullet"/>
      <w:lvlText w:val=""/>
      <w:lvlJc w:val="left"/>
      <w:pPr>
        <w:ind w:left="720" w:hanging="360"/>
      </w:pPr>
      <w:rPr>
        <w:rFonts w:ascii="Symbol" w:hAnsi="Symbol"/>
      </w:rPr>
    </w:lvl>
    <w:lvl w:ilvl="1" w:tplc="530EABC6">
      <w:start w:val="1"/>
      <w:numFmt w:val="bullet"/>
      <w:lvlText w:val=""/>
      <w:lvlJc w:val="left"/>
      <w:pPr>
        <w:ind w:left="720" w:hanging="360"/>
      </w:pPr>
      <w:rPr>
        <w:rFonts w:ascii="Symbol" w:hAnsi="Symbol"/>
      </w:rPr>
    </w:lvl>
    <w:lvl w:ilvl="2" w:tplc="35B0F014">
      <w:start w:val="1"/>
      <w:numFmt w:val="bullet"/>
      <w:lvlText w:val=""/>
      <w:lvlJc w:val="left"/>
      <w:pPr>
        <w:ind w:left="720" w:hanging="360"/>
      </w:pPr>
      <w:rPr>
        <w:rFonts w:ascii="Symbol" w:hAnsi="Symbol"/>
      </w:rPr>
    </w:lvl>
    <w:lvl w:ilvl="3" w:tplc="AF7A7B56">
      <w:start w:val="1"/>
      <w:numFmt w:val="bullet"/>
      <w:lvlText w:val=""/>
      <w:lvlJc w:val="left"/>
      <w:pPr>
        <w:ind w:left="720" w:hanging="360"/>
      </w:pPr>
      <w:rPr>
        <w:rFonts w:ascii="Symbol" w:hAnsi="Symbol"/>
      </w:rPr>
    </w:lvl>
    <w:lvl w:ilvl="4" w:tplc="2D1E5CD0">
      <w:start w:val="1"/>
      <w:numFmt w:val="bullet"/>
      <w:lvlText w:val=""/>
      <w:lvlJc w:val="left"/>
      <w:pPr>
        <w:ind w:left="720" w:hanging="360"/>
      </w:pPr>
      <w:rPr>
        <w:rFonts w:ascii="Symbol" w:hAnsi="Symbol"/>
      </w:rPr>
    </w:lvl>
    <w:lvl w:ilvl="5" w:tplc="0EF8C6F8">
      <w:start w:val="1"/>
      <w:numFmt w:val="bullet"/>
      <w:lvlText w:val=""/>
      <w:lvlJc w:val="left"/>
      <w:pPr>
        <w:ind w:left="720" w:hanging="360"/>
      </w:pPr>
      <w:rPr>
        <w:rFonts w:ascii="Symbol" w:hAnsi="Symbol"/>
      </w:rPr>
    </w:lvl>
    <w:lvl w:ilvl="6" w:tplc="C71632F4">
      <w:start w:val="1"/>
      <w:numFmt w:val="bullet"/>
      <w:lvlText w:val=""/>
      <w:lvlJc w:val="left"/>
      <w:pPr>
        <w:ind w:left="720" w:hanging="360"/>
      </w:pPr>
      <w:rPr>
        <w:rFonts w:ascii="Symbol" w:hAnsi="Symbol"/>
      </w:rPr>
    </w:lvl>
    <w:lvl w:ilvl="7" w:tplc="0F0A5AEE">
      <w:start w:val="1"/>
      <w:numFmt w:val="bullet"/>
      <w:lvlText w:val=""/>
      <w:lvlJc w:val="left"/>
      <w:pPr>
        <w:ind w:left="720" w:hanging="360"/>
      </w:pPr>
      <w:rPr>
        <w:rFonts w:ascii="Symbol" w:hAnsi="Symbol"/>
      </w:rPr>
    </w:lvl>
    <w:lvl w:ilvl="8" w:tplc="DB5864BC">
      <w:start w:val="1"/>
      <w:numFmt w:val="bullet"/>
      <w:lvlText w:val=""/>
      <w:lvlJc w:val="left"/>
      <w:pPr>
        <w:ind w:left="720" w:hanging="360"/>
      </w:pPr>
      <w:rPr>
        <w:rFonts w:ascii="Symbol" w:hAnsi="Symbol"/>
      </w:rPr>
    </w:lvl>
  </w:abstractNum>
  <w:abstractNum w:abstractNumId="7" w15:restartNumberingAfterBreak="0">
    <w:nsid w:val="0D0C3DF8"/>
    <w:multiLevelType w:val="hybridMultilevel"/>
    <w:tmpl w:val="1D84CD2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0F752C02"/>
    <w:multiLevelType w:val="hybridMultilevel"/>
    <w:tmpl w:val="FF2E3FDC"/>
    <w:lvl w:ilvl="0" w:tplc="E54AC3E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3932D08"/>
    <w:multiLevelType w:val="hybridMultilevel"/>
    <w:tmpl w:val="69C046E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6E61AA2"/>
    <w:multiLevelType w:val="multilevel"/>
    <w:tmpl w:val="D6E6D8D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9B32C3D"/>
    <w:multiLevelType w:val="hybridMultilevel"/>
    <w:tmpl w:val="C15EDB7E"/>
    <w:lvl w:ilvl="0" w:tplc="F8F0C4CE">
      <w:start w:val="1"/>
      <w:numFmt w:val="bullet"/>
      <w:lvlText w:val=""/>
      <w:lvlJc w:val="left"/>
      <w:pPr>
        <w:ind w:left="720" w:hanging="360"/>
      </w:pPr>
      <w:rPr>
        <w:rFonts w:ascii="Symbol" w:hAnsi="Symbol"/>
      </w:rPr>
    </w:lvl>
    <w:lvl w:ilvl="1" w:tplc="A060EEB8">
      <w:start w:val="1"/>
      <w:numFmt w:val="bullet"/>
      <w:lvlText w:val=""/>
      <w:lvlJc w:val="left"/>
      <w:pPr>
        <w:ind w:left="720" w:hanging="360"/>
      </w:pPr>
      <w:rPr>
        <w:rFonts w:ascii="Symbol" w:hAnsi="Symbol"/>
      </w:rPr>
    </w:lvl>
    <w:lvl w:ilvl="2" w:tplc="A3C4208A">
      <w:start w:val="1"/>
      <w:numFmt w:val="bullet"/>
      <w:lvlText w:val=""/>
      <w:lvlJc w:val="left"/>
      <w:pPr>
        <w:ind w:left="720" w:hanging="360"/>
      </w:pPr>
      <w:rPr>
        <w:rFonts w:ascii="Symbol" w:hAnsi="Symbol"/>
      </w:rPr>
    </w:lvl>
    <w:lvl w:ilvl="3" w:tplc="BDAAB044">
      <w:start w:val="1"/>
      <w:numFmt w:val="bullet"/>
      <w:lvlText w:val=""/>
      <w:lvlJc w:val="left"/>
      <w:pPr>
        <w:ind w:left="720" w:hanging="360"/>
      </w:pPr>
      <w:rPr>
        <w:rFonts w:ascii="Symbol" w:hAnsi="Symbol"/>
      </w:rPr>
    </w:lvl>
    <w:lvl w:ilvl="4" w:tplc="A1FCAF1C">
      <w:start w:val="1"/>
      <w:numFmt w:val="bullet"/>
      <w:lvlText w:val=""/>
      <w:lvlJc w:val="left"/>
      <w:pPr>
        <w:ind w:left="720" w:hanging="360"/>
      </w:pPr>
      <w:rPr>
        <w:rFonts w:ascii="Symbol" w:hAnsi="Symbol"/>
      </w:rPr>
    </w:lvl>
    <w:lvl w:ilvl="5" w:tplc="45486BC4">
      <w:start w:val="1"/>
      <w:numFmt w:val="bullet"/>
      <w:lvlText w:val=""/>
      <w:lvlJc w:val="left"/>
      <w:pPr>
        <w:ind w:left="720" w:hanging="360"/>
      </w:pPr>
      <w:rPr>
        <w:rFonts w:ascii="Symbol" w:hAnsi="Symbol"/>
      </w:rPr>
    </w:lvl>
    <w:lvl w:ilvl="6" w:tplc="B55E6CA4">
      <w:start w:val="1"/>
      <w:numFmt w:val="bullet"/>
      <w:lvlText w:val=""/>
      <w:lvlJc w:val="left"/>
      <w:pPr>
        <w:ind w:left="720" w:hanging="360"/>
      </w:pPr>
      <w:rPr>
        <w:rFonts w:ascii="Symbol" w:hAnsi="Symbol"/>
      </w:rPr>
    </w:lvl>
    <w:lvl w:ilvl="7" w:tplc="3F724E02">
      <w:start w:val="1"/>
      <w:numFmt w:val="bullet"/>
      <w:lvlText w:val=""/>
      <w:lvlJc w:val="left"/>
      <w:pPr>
        <w:ind w:left="720" w:hanging="360"/>
      </w:pPr>
      <w:rPr>
        <w:rFonts w:ascii="Symbol" w:hAnsi="Symbol"/>
      </w:rPr>
    </w:lvl>
    <w:lvl w:ilvl="8" w:tplc="27148F94">
      <w:start w:val="1"/>
      <w:numFmt w:val="bullet"/>
      <w:lvlText w:val=""/>
      <w:lvlJc w:val="left"/>
      <w:pPr>
        <w:ind w:left="720" w:hanging="360"/>
      </w:pPr>
      <w:rPr>
        <w:rFonts w:ascii="Symbol" w:hAnsi="Symbol"/>
      </w:rPr>
    </w:lvl>
  </w:abstractNum>
  <w:abstractNum w:abstractNumId="12" w15:restartNumberingAfterBreak="0">
    <w:nsid w:val="225C51C0"/>
    <w:multiLevelType w:val="hybridMultilevel"/>
    <w:tmpl w:val="F4C4A82A"/>
    <w:lvl w:ilvl="0" w:tplc="DC8C7C50">
      <w:start w:val="1"/>
      <w:numFmt w:val="bullet"/>
      <w:lvlText w:val=""/>
      <w:lvlJc w:val="left"/>
      <w:pPr>
        <w:ind w:left="720" w:hanging="360"/>
      </w:pPr>
      <w:rPr>
        <w:rFonts w:ascii="Symbol" w:hAnsi="Symbol"/>
      </w:rPr>
    </w:lvl>
    <w:lvl w:ilvl="1" w:tplc="6ADE481E">
      <w:start w:val="1"/>
      <w:numFmt w:val="bullet"/>
      <w:lvlText w:val=""/>
      <w:lvlJc w:val="left"/>
      <w:pPr>
        <w:ind w:left="720" w:hanging="360"/>
      </w:pPr>
      <w:rPr>
        <w:rFonts w:ascii="Symbol" w:hAnsi="Symbol"/>
      </w:rPr>
    </w:lvl>
    <w:lvl w:ilvl="2" w:tplc="12ACA1B6">
      <w:start w:val="1"/>
      <w:numFmt w:val="bullet"/>
      <w:lvlText w:val=""/>
      <w:lvlJc w:val="left"/>
      <w:pPr>
        <w:ind w:left="720" w:hanging="360"/>
      </w:pPr>
      <w:rPr>
        <w:rFonts w:ascii="Symbol" w:hAnsi="Symbol"/>
      </w:rPr>
    </w:lvl>
    <w:lvl w:ilvl="3" w:tplc="52924690">
      <w:start w:val="1"/>
      <w:numFmt w:val="bullet"/>
      <w:lvlText w:val=""/>
      <w:lvlJc w:val="left"/>
      <w:pPr>
        <w:ind w:left="720" w:hanging="360"/>
      </w:pPr>
      <w:rPr>
        <w:rFonts w:ascii="Symbol" w:hAnsi="Symbol"/>
      </w:rPr>
    </w:lvl>
    <w:lvl w:ilvl="4" w:tplc="6832B900">
      <w:start w:val="1"/>
      <w:numFmt w:val="bullet"/>
      <w:lvlText w:val=""/>
      <w:lvlJc w:val="left"/>
      <w:pPr>
        <w:ind w:left="720" w:hanging="360"/>
      </w:pPr>
      <w:rPr>
        <w:rFonts w:ascii="Symbol" w:hAnsi="Symbol"/>
      </w:rPr>
    </w:lvl>
    <w:lvl w:ilvl="5" w:tplc="CF883162">
      <w:start w:val="1"/>
      <w:numFmt w:val="bullet"/>
      <w:lvlText w:val=""/>
      <w:lvlJc w:val="left"/>
      <w:pPr>
        <w:ind w:left="720" w:hanging="360"/>
      </w:pPr>
      <w:rPr>
        <w:rFonts w:ascii="Symbol" w:hAnsi="Symbol"/>
      </w:rPr>
    </w:lvl>
    <w:lvl w:ilvl="6" w:tplc="E2F0A6E8">
      <w:start w:val="1"/>
      <w:numFmt w:val="bullet"/>
      <w:lvlText w:val=""/>
      <w:lvlJc w:val="left"/>
      <w:pPr>
        <w:ind w:left="720" w:hanging="360"/>
      </w:pPr>
      <w:rPr>
        <w:rFonts w:ascii="Symbol" w:hAnsi="Symbol"/>
      </w:rPr>
    </w:lvl>
    <w:lvl w:ilvl="7" w:tplc="8EB65B06">
      <w:start w:val="1"/>
      <w:numFmt w:val="bullet"/>
      <w:lvlText w:val=""/>
      <w:lvlJc w:val="left"/>
      <w:pPr>
        <w:ind w:left="720" w:hanging="360"/>
      </w:pPr>
      <w:rPr>
        <w:rFonts w:ascii="Symbol" w:hAnsi="Symbol"/>
      </w:rPr>
    </w:lvl>
    <w:lvl w:ilvl="8" w:tplc="7CFEB9E2">
      <w:start w:val="1"/>
      <w:numFmt w:val="bullet"/>
      <w:lvlText w:val=""/>
      <w:lvlJc w:val="left"/>
      <w:pPr>
        <w:ind w:left="720" w:hanging="360"/>
      </w:pPr>
      <w:rPr>
        <w:rFonts w:ascii="Symbol" w:hAnsi="Symbol"/>
      </w:rPr>
    </w:lvl>
  </w:abstractNum>
  <w:abstractNum w:abstractNumId="13" w15:restartNumberingAfterBreak="0">
    <w:nsid w:val="232F0B3C"/>
    <w:multiLevelType w:val="hybridMultilevel"/>
    <w:tmpl w:val="3FD688E4"/>
    <w:lvl w:ilvl="0" w:tplc="2FCAE61C">
      <w:start w:val="1"/>
      <w:numFmt w:val="bullet"/>
      <w:lvlText w:val=""/>
      <w:lvlJc w:val="left"/>
      <w:pPr>
        <w:ind w:left="720" w:hanging="360"/>
      </w:pPr>
      <w:rPr>
        <w:rFonts w:ascii="Symbol" w:hAnsi="Symbol"/>
      </w:rPr>
    </w:lvl>
    <w:lvl w:ilvl="1" w:tplc="77B608BC">
      <w:start w:val="1"/>
      <w:numFmt w:val="bullet"/>
      <w:lvlText w:val=""/>
      <w:lvlJc w:val="left"/>
      <w:pPr>
        <w:ind w:left="720" w:hanging="360"/>
      </w:pPr>
      <w:rPr>
        <w:rFonts w:ascii="Symbol" w:hAnsi="Symbol"/>
      </w:rPr>
    </w:lvl>
    <w:lvl w:ilvl="2" w:tplc="831669D4">
      <w:start w:val="1"/>
      <w:numFmt w:val="bullet"/>
      <w:lvlText w:val=""/>
      <w:lvlJc w:val="left"/>
      <w:pPr>
        <w:ind w:left="720" w:hanging="360"/>
      </w:pPr>
      <w:rPr>
        <w:rFonts w:ascii="Symbol" w:hAnsi="Symbol"/>
      </w:rPr>
    </w:lvl>
    <w:lvl w:ilvl="3" w:tplc="87A688D4">
      <w:start w:val="1"/>
      <w:numFmt w:val="bullet"/>
      <w:lvlText w:val=""/>
      <w:lvlJc w:val="left"/>
      <w:pPr>
        <w:ind w:left="720" w:hanging="360"/>
      </w:pPr>
      <w:rPr>
        <w:rFonts w:ascii="Symbol" w:hAnsi="Symbol"/>
      </w:rPr>
    </w:lvl>
    <w:lvl w:ilvl="4" w:tplc="D7D23D58">
      <w:start w:val="1"/>
      <w:numFmt w:val="bullet"/>
      <w:lvlText w:val=""/>
      <w:lvlJc w:val="left"/>
      <w:pPr>
        <w:ind w:left="720" w:hanging="360"/>
      </w:pPr>
      <w:rPr>
        <w:rFonts w:ascii="Symbol" w:hAnsi="Symbol"/>
      </w:rPr>
    </w:lvl>
    <w:lvl w:ilvl="5" w:tplc="D8D05E84">
      <w:start w:val="1"/>
      <w:numFmt w:val="bullet"/>
      <w:lvlText w:val=""/>
      <w:lvlJc w:val="left"/>
      <w:pPr>
        <w:ind w:left="720" w:hanging="360"/>
      </w:pPr>
      <w:rPr>
        <w:rFonts w:ascii="Symbol" w:hAnsi="Symbol"/>
      </w:rPr>
    </w:lvl>
    <w:lvl w:ilvl="6" w:tplc="46EC20CE">
      <w:start w:val="1"/>
      <w:numFmt w:val="bullet"/>
      <w:lvlText w:val=""/>
      <w:lvlJc w:val="left"/>
      <w:pPr>
        <w:ind w:left="720" w:hanging="360"/>
      </w:pPr>
      <w:rPr>
        <w:rFonts w:ascii="Symbol" w:hAnsi="Symbol"/>
      </w:rPr>
    </w:lvl>
    <w:lvl w:ilvl="7" w:tplc="F23C6BA6">
      <w:start w:val="1"/>
      <w:numFmt w:val="bullet"/>
      <w:lvlText w:val=""/>
      <w:lvlJc w:val="left"/>
      <w:pPr>
        <w:ind w:left="720" w:hanging="360"/>
      </w:pPr>
      <w:rPr>
        <w:rFonts w:ascii="Symbol" w:hAnsi="Symbol"/>
      </w:rPr>
    </w:lvl>
    <w:lvl w:ilvl="8" w:tplc="1848BFC4">
      <w:start w:val="1"/>
      <w:numFmt w:val="bullet"/>
      <w:lvlText w:val=""/>
      <w:lvlJc w:val="left"/>
      <w:pPr>
        <w:ind w:left="720" w:hanging="360"/>
      </w:pPr>
      <w:rPr>
        <w:rFonts w:ascii="Symbol" w:hAnsi="Symbol"/>
      </w:rPr>
    </w:lvl>
  </w:abstractNum>
  <w:abstractNum w:abstractNumId="14" w15:restartNumberingAfterBreak="0">
    <w:nsid w:val="24767EB7"/>
    <w:multiLevelType w:val="hybridMultilevel"/>
    <w:tmpl w:val="205E0EF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5794AF5"/>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6" w15:restartNumberingAfterBreak="0">
    <w:nsid w:val="25AB4FD5"/>
    <w:multiLevelType w:val="hybridMultilevel"/>
    <w:tmpl w:val="45C0486A"/>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28462F16"/>
    <w:multiLevelType w:val="hybridMultilevel"/>
    <w:tmpl w:val="12326988"/>
    <w:lvl w:ilvl="0" w:tplc="01D47438">
      <w:start w:val="1"/>
      <w:numFmt w:val="bullet"/>
      <w:lvlText w:val=""/>
      <w:lvlJc w:val="left"/>
      <w:pPr>
        <w:ind w:left="720" w:hanging="360"/>
      </w:pPr>
      <w:rPr>
        <w:rFonts w:ascii="Symbol" w:hAnsi="Symbol"/>
      </w:rPr>
    </w:lvl>
    <w:lvl w:ilvl="1" w:tplc="1C5C62C2">
      <w:start w:val="1"/>
      <w:numFmt w:val="bullet"/>
      <w:lvlText w:val=""/>
      <w:lvlJc w:val="left"/>
      <w:pPr>
        <w:ind w:left="720" w:hanging="360"/>
      </w:pPr>
      <w:rPr>
        <w:rFonts w:ascii="Symbol" w:hAnsi="Symbol"/>
      </w:rPr>
    </w:lvl>
    <w:lvl w:ilvl="2" w:tplc="2D684300">
      <w:start w:val="1"/>
      <w:numFmt w:val="bullet"/>
      <w:lvlText w:val=""/>
      <w:lvlJc w:val="left"/>
      <w:pPr>
        <w:ind w:left="720" w:hanging="360"/>
      </w:pPr>
      <w:rPr>
        <w:rFonts w:ascii="Symbol" w:hAnsi="Symbol"/>
      </w:rPr>
    </w:lvl>
    <w:lvl w:ilvl="3" w:tplc="EB3C1BB4">
      <w:start w:val="1"/>
      <w:numFmt w:val="bullet"/>
      <w:lvlText w:val=""/>
      <w:lvlJc w:val="left"/>
      <w:pPr>
        <w:ind w:left="720" w:hanging="360"/>
      </w:pPr>
      <w:rPr>
        <w:rFonts w:ascii="Symbol" w:hAnsi="Symbol"/>
      </w:rPr>
    </w:lvl>
    <w:lvl w:ilvl="4" w:tplc="2FCE42C6">
      <w:start w:val="1"/>
      <w:numFmt w:val="bullet"/>
      <w:lvlText w:val=""/>
      <w:lvlJc w:val="left"/>
      <w:pPr>
        <w:ind w:left="720" w:hanging="360"/>
      </w:pPr>
      <w:rPr>
        <w:rFonts w:ascii="Symbol" w:hAnsi="Symbol"/>
      </w:rPr>
    </w:lvl>
    <w:lvl w:ilvl="5" w:tplc="179E599E">
      <w:start w:val="1"/>
      <w:numFmt w:val="bullet"/>
      <w:lvlText w:val=""/>
      <w:lvlJc w:val="left"/>
      <w:pPr>
        <w:ind w:left="720" w:hanging="360"/>
      </w:pPr>
      <w:rPr>
        <w:rFonts w:ascii="Symbol" w:hAnsi="Symbol"/>
      </w:rPr>
    </w:lvl>
    <w:lvl w:ilvl="6" w:tplc="78ACD6E6">
      <w:start w:val="1"/>
      <w:numFmt w:val="bullet"/>
      <w:lvlText w:val=""/>
      <w:lvlJc w:val="left"/>
      <w:pPr>
        <w:ind w:left="720" w:hanging="360"/>
      </w:pPr>
      <w:rPr>
        <w:rFonts w:ascii="Symbol" w:hAnsi="Symbol"/>
      </w:rPr>
    </w:lvl>
    <w:lvl w:ilvl="7" w:tplc="E23806B8">
      <w:start w:val="1"/>
      <w:numFmt w:val="bullet"/>
      <w:lvlText w:val=""/>
      <w:lvlJc w:val="left"/>
      <w:pPr>
        <w:ind w:left="720" w:hanging="360"/>
      </w:pPr>
      <w:rPr>
        <w:rFonts w:ascii="Symbol" w:hAnsi="Symbol"/>
      </w:rPr>
    </w:lvl>
    <w:lvl w:ilvl="8" w:tplc="21B68822">
      <w:start w:val="1"/>
      <w:numFmt w:val="bullet"/>
      <w:lvlText w:val=""/>
      <w:lvlJc w:val="left"/>
      <w:pPr>
        <w:ind w:left="720" w:hanging="360"/>
      </w:pPr>
      <w:rPr>
        <w:rFonts w:ascii="Symbol" w:hAnsi="Symbol"/>
      </w:rPr>
    </w:lvl>
  </w:abstractNum>
  <w:abstractNum w:abstractNumId="18" w15:restartNumberingAfterBreak="0">
    <w:nsid w:val="2B7433D8"/>
    <w:multiLevelType w:val="hybridMultilevel"/>
    <w:tmpl w:val="2EA27122"/>
    <w:lvl w:ilvl="0" w:tplc="860E636E">
      <w:start w:val="1"/>
      <w:numFmt w:val="bullet"/>
      <w:lvlText w:val=""/>
      <w:lvlJc w:val="left"/>
      <w:pPr>
        <w:ind w:left="720" w:hanging="360"/>
      </w:pPr>
      <w:rPr>
        <w:rFonts w:ascii="Symbol" w:hAnsi="Symbol"/>
      </w:rPr>
    </w:lvl>
    <w:lvl w:ilvl="1" w:tplc="CC601BFC">
      <w:start w:val="1"/>
      <w:numFmt w:val="bullet"/>
      <w:lvlText w:val=""/>
      <w:lvlJc w:val="left"/>
      <w:pPr>
        <w:ind w:left="720" w:hanging="360"/>
      </w:pPr>
      <w:rPr>
        <w:rFonts w:ascii="Symbol" w:hAnsi="Symbol"/>
      </w:rPr>
    </w:lvl>
    <w:lvl w:ilvl="2" w:tplc="F2962462">
      <w:start w:val="1"/>
      <w:numFmt w:val="bullet"/>
      <w:lvlText w:val=""/>
      <w:lvlJc w:val="left"/>
      <w:pPr>
        <w:ind w:left="720" w:hanging="360"/>
      </w:pPr>
      <w:rPr>
        <w:rFonts w:ascii="Symbol" w:hAnsi="Symbol"/>
      </w:rPr>
    </w:lvl>
    <w:lvl w:ilvl="3" w:tplc="3C783F72">
      <w:start w:val="1"/>
      <w:numFmt w:val="bullet"/>
      <w:lvlText w:val=""/>
      <w:lvlJc w:val="left"/>
      <w:pPr>
        <w:ind w:left="720" w:hanging="360"/>
      </w:pPr>
      <w:rPr>
        <w:rFonts w:ascii="Symbol" w:hAnsi="Symbol"/>
      </w:rPr>
    </w:lvl>
    <w:lvl w:ilvl="4" w:tplc="6A2EE350">
      <w:start w:val="1"/>
      <w:numFmt w:val="bullet"/>
      <w:lvlText w:val=""/>
      <w:lvlJc w:val="left"/>
      <w:pPr>
        <w:ind w:left="720" w:hanging="360"/>
      </w:pPr>
      <w:rPr>
        <w:rFonts w:ascii="Symbol" w:hAnsi="Symbol"/>
      </w:rPr>
    </w:lvl>
    <w:lvl w:ilvl="5" w:tplc="11C870DE">
      <w:start w:val="1"/>
      <w:numFmt w:val="bullet"/>
      <w:lvlText w:val=""/>
      <w:lvlJc w:val="left"/>
      <w:pPr>
        <w:ind w:left="720" w:hanging="360"/>
      </w:pPr>
      <w:rPr>
        <w:rFonts w:ascii="Symbol" w:hAnsi="Symbol"/>
      </w:rPr>
    </w:lvl>
    <w:lvl w:ilvl="6" w:tplc="653C175E">
      <w:start w:val="1"/>
      <w:numFmt w:val="bullet"/>
      <w:lvlText w:val=""/>
      <w:lvlJc w:val="left"/>
      <w:pPr>
        <w:ind w:left="720" w:hanging="360"/>
      </w:pPr>
      <w:rPr>
        <w:rFonts w:ascii="Symbol" w:hAnsi="Symbol"/>
      </w:rPr>
    </w:lvl>
    <w:lvl w:ilvl="7" w:tplc="BE6231B8">
      <w:start w:val="1"/>
      <w:numFmt w:val="bullet"/>
      <w:lvlText w:val=""/>
      <w:lvlJc w:val="left"/>
      <w:pPr>
        <w:ind w:left="720" w:hanging="360"/>
      </w:pPr>
      <w:rPr>
        <w:rFonts w:ascii="Symbol" w:hAnsi="Symbol"/>
      </w:rPr>
    </w:lvl>
    <w:lvl w:ilvl="8" w:tplc="CEC28EF2">
      <w:start w:val="1"/>
      <w:numFmt w:val="bullet"/>
      <w:lvlText w:val=""/>
      <w:lvlJc w:val="left"/>
      <w:pPr>
        <w:ind w:left="720" w:hanging="360"/>
      </w:pPr>
      <w:rPr>
        <w:rFonts w:ascii="Symbol" w:hAnsi="Symbol"/>
      </w:rPr>
    </w:lvl>
  </w:abstractNum>
  <w:abstractNum w:abstractNumId="19" w15:restartNumberingAfterBreak="0">
    <w:nsid w:val="30957768"/>
    <w:multiLevelType w:val="hybridMultilevel"/>
    <w:tmpl w:val="25C091EC"/>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1CC1CA2"/>
    <w:multiLevelType w:val="hybridMultilevel"/>
    <w:tmpl w:val="AF607C4E"/>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34944C6D"/>
    <w:multiLevelType w:val="multilevel"/>
    <w:tmpl w:val="FF2A9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30F79"/>
    <w:multiLevelType w:val="hybridMultilevel"/>
    <w:tmpl w:val="86B66356"/>
    <w:lvl w:ilvl="0" w:tplc="141A000F">
      <w:start w:val="5"/>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36FB7893"/>
    <w:multiLevelType w:val="hybridMultilevel"/>
    <w:tmpl w:val="40D45726"/>
    <w:lvl w:ilvl="0" w:tplc="D04C89A8">
      <w:start w:val="1"/>
      <w:numFmt w:val="bullet"/>
      <w:lvlText w:val=""/>
      <w:lvlJc w:val="left"/>
      <w:pPr>
        <w:ind w:left="720" w:hanging="360"/>
      </w:pPr>
      <w:rPr>
        <w:rFonts w:ascii="Symbol" w:hAnsi="Symbol"/>
      </w:rPr>
    </w:lvl>
    <w:lvl w:ilvl="1" w:tplc="57B05EA6">
      <w:start w:val="1"/>
      <w:numFmt w:val="bullet"/>
      <w:lvlText w:val=""/>
      <w:lvlJc w:val="left"/>
      <w:pPr>
        <w:ind w:left="720" w:hanging="360"/>
      </w:pPr>
      <w:rPr>
        <w:rFonts w:ascii="Symbol" w:hAnsi="Symbol"/>
      </w:rPr>
    </w:lvl>
    <w:lvl w:ilvl="2" w:tplc="8F204C48">
      <w:start w:val="1"/>
      <w:numFmt w:val="bullet"/>
      <w:lvlText w:val=""/>
      <w:lvlJc w:val="left"/>
      <w:pPr>
        <w:ind w:left="720" w:hanging="360"/>
      </w:pPr>
      <w:rPr>
        <w:rFonts w:ascii="Symbol" w:hAnsi="Symbol"/>
      </w:rPr>
    </w:lvl>
    <w:lvl w:ilvl="3" w:tplc="F6C2344E">
      <w:start w:val="1"/>
      <w:numFmt w:val="bullet"/>
      <w:lvlText w:val=""/>
      <w:lvlJc w:val="left"/>
      <w:pPr>
        <w:ind w:left="720" w:hanging="360"/>
      </w:pPr>
      <w:rPr>
        <w:rFonts w:ascii="Symbol" w:hAnsi="Symbol"/>
      </w:rPr>
    </w:lvl>
    <w:lvl w:ilvl="4" w:tplc="F9FCE2AC">
      <w:start w:val="1"/>
      <w:numFmt w:val="bullet"/>
      <w:lvlText w:val=""/>
      <w:lvlJc w:val="left"/>
      <w:pPr>
        <w:ind w:left="720" w:hanging="360"/>
      </w:pPr>
      <w:rPr>
        <w:rFonts w:ascii="Symbol" w:hAnsi="Symbol"/>
      </w:rPr>
    </w:lvl>
    <w:lvl w:ilvl="5" w:tplc="7DCA2A46">
      <w:start w:val="1"/>
      <w:numFmt w:val="bullet"/>
      <w:lvlText w:val=""/>
      <w:lvlJc w:val="left"/>
      <w:pPr>
        <w:ind w:left="720" w:hanging="360"/>
      </w:pPr>
      <w:rPr>
        <w:rFonts w:ascii="Symbol" w:hAnsi="Symbol"/>
      </w:rPr>
    </w:lvl>
    <w:lvl w:ilvl="6" w:tplc="4D60AA90">
      <w:start w:val="1"/>
      <w:numFmt w:val="bullet"/>
      <w:lvlText w:val=""/>
      <w:lvlJc w:val="left"/>
      <w:pPr>
        <w:ind w:left="720" w:hanging="360"/>
      </w:pPr>
      <w:rPr>
        <w:rFonts w:ascii="Symbol" w:hAnsi="Symbol"/>
      </w:rPr>
    </w:lvl>
    <w:lvl w:ilvl="7" w:tplc="06A689E4">
      <w:start w:val="1"/>
      <w:numFmt w:val="bullet"/>
      <w:lvlText w:val=""/>
      <w:lvlJc w:val="left"/>
      <w:pPr>
        <w:ind w:left="720" w:hanging="360"/>
      </w:pPr>
      <w:rPr>
        <w:rFonts w:ascii="Symbol" w:hAnsi="Symbol"/>
      </w:rPr>
    </w:lvl>
    <w:lvl w:ilvl="8" w:tplc="9926F166">
      <w:start w:val="1"/>
      <w:numFmt w:val="bullet"/>
      <w:lvlText w:val=""/>
      <w:lvlJc w:val="left"/>
      <w:pPr>
        <w:ind w:left="720" w:hanging="360"/>
      </w:pPr>
      <w:rPr>
        <w:rFonts w:ascii="Symbol" w:hAnsi="Symbol"/>
      </w:rPr>
    </w:lvl>
  </w:abstractNum>
  <w:abstractNum w:abstractNumId="24" w15:restartNumberingAfterBreak="0">
    <w:nsid w:val="37240F64"/>
    <w:multiLevelType w:val="hybridMultilevel"/>
    <w:tmpl w:val="20A0FEE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48D979E5"/>
    <w:multiLevelType w:val="hybridMultilevel"/>
    <w:tmpl w:val="0BF888C0"/>
    <w:lvl w:ilvl="0" w:tplc="E54AC3EC">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C3373C5"/>
    <w:multiLevelType w:val="hybridMultilevel"/>
    <w:tmpl w:val="175A5C8C"/>
    <w:lvl w:ilvl="0" w:tplc="BDDA0448">
      <w:start w:val="1"/>
      <w:numFmt w:val="bullet"/>
      <w:lvlText w:val=""/>
      <w:lvlJc w:val="left"/>
      <w:pPr>
        <w:ind w:left="720" w:hanging="360"/>
      </w:pPr>
      <w:rPr>
        <w:rFonts w:ascii="Symbol" w:hAnsi="Symbol"/>
      </w:rPr>
    </w:lvl>
    <w:lvl w:ilvl="1" w:tplc="B1E4FD5C">
      <w:start w:val="1"/>
      <w:numFmt w:val="bullet"/>
      <w:lvlText w:val=""/>
      <w:lvlJc w:val="left"/>
      <w:pPr>
        <w:ind w:left="720" w:hanging="360"/>
      </w:pPr>
      <w:rPr>
        <w:rFonts w:ascii="Symbol" w:hAnsi="Symbol"/>
      </w:rPr>
    </w:lvl>
    <w:lvl w:ilvl="2" w:tplc="6144F3C0">
      <w:start w:val="1"/>
      <w:numFmt w:val="bullet"/>
      <w:lvlText w:val=""/>
      <w:lvlJc w:val="left"/>
      <w:pPr>
        <w:ind w:left="720" w:hanging="360"/>
      </w:pPr>
      <w:rPr>
        <w:rFonts w:ascii="Symbol" w:hAnsi="Symbol"/>
      </w:rPr>
    </w:lvl>
    <w:lvl w:ilvl="3" w:tplc="93F21512">
      <w:start w:val="1"/>
      <w:numFmt w:val="bullet"/>
      <w:lvlText w:val=""/>
      <w:lvlJc w:val="left"/>
      <w:pPr>
        <w:ind w:left="720" w:hanging="360"/>
      </w:pPr>
      <w:rPr>
        <w:rFonts w:ascii="Symbol" w:hAnsi="Symbol"/>
      </w:rPr>
    </w:lvl>
    <w:lvl w:ilvl="4" w:tplc="9BBE696E">
      <w:start w:val="1"/>
      <w:numFmt w:val="bullet"/>
      <w:lvlText w:val=""/>
      <w:lvlJc w:val="left"/>
      <w:pPr>
        <w:ind w:left="720" w:hanging="360"/>
      </w:pPr>
      <w:rPr>
        <w:rFonts w:ascii="Symbol" w:hAnsi="Symbol"/>
      </w:rPr>
    </w:lvl>
    <w:lvl w:ilvl="5" w:tplc="329254FC">
      <w:start w:val="1"/>
      <w:numFmt w:val="bullet"/>
      <w:lvlText w:val=""/>
      <w:lvlJc w:val="left"/>
      <w:pPr>
        <w:ind w:left="720" w:hanging="360"/>
      </w:pPr>
      <w:rPr>
        <w:rFonts w:ascii="Symbol" w:hAnsi="Symbol"/>
      </w:rPr>
    </w:lvl>
    <w:lvl w:ilvl="6" w:tplc="A0CE71D6">
      <w:start w:val="1"/>
      <w:numFmt w:val="bullet"/>
      <w:lvlText w:val=""/>
      <w:lvlJc w:val="left"/>
      <w:pPr>
        <w:ind w:left="720" w:hanging="360"/>
      </w:pPr>
      <w:rPr>
        <w:rFonts w:ascii="Symbol" w:hAnsi="Symbol"/>
      </w:rPr>
    </w:lvl>
    <w:lvl w:ilvl="7" w:tplc="990A8012">
      <w:start w:val="1"/>
      <w:numFmt w:val="bullet"/>
      <w:lvlText w:val=""/>
      <w:lvlJc w:val="left"/>
      <w:pPr>
        <w:ind w:left="720" w:hanging="360"/>
      </w:pPr>
      <w:rPr>
        <w:rFonts w:ascii="Symbol" w:hAnsi="Symbol"/>
      </w:rPr>
    </w:lvl>
    <w:lvl w:ilvl="8" w:tplc="94BEACB6">
      <w:start w:val="1"/>
      <w:numFmt w:val="bullet"/>
      <w:lvlText w:val=""/>
      <w:lvlJc w:val="left"/>
      <w:pPr>
        <w:ind w:left="720" w:hanging="360"/>
      </w:pPr>
      <w:rPr>
        <w:rFonts w:ascii="Symbol" w:hAnsi="Symbol"/>
      </w:rPr>
    </w:lvl>
  </w:abstractNum>
  <w:abstractNum w:abstractNumId="27" w15:restartNumberingAfterBreak="0">
    <w:nsid w:val="55BD0564"/>
    <w:multiLevelType w:val="hybridMultilevel"/>
    <w:tmpl w:val="FF2A9E0E"/>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15:restartNumberingAfterBreak="0">
    <w:nsid w:val="56596DFE"/>
    <w:multiLevelType w:val="hybridMultilevel"/>
    <w:tmpl w:val="E0DAD13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5A5C42F0"/>
    <w:multiLevelType w:val="hybridMultilevel"/>
    <w:tmpl w:val="77AA21DA"/>
    <w:lvl w:ilvl="0" w:tplc="E54AC3EC">
      <w:start w:val="1"/>
      <w:numFmt w:val="decimal"/>
      <w:lvlText w:val="(%1)"/>
      <w:lvlJc w:val="left"/>
      <w:pPr>
        <w:ind w:left="360" w:hanging="360"/>
      </w:pPr>
      <w:rPr>
        <w:rFonts w:ascii="Times New Roman" w:eastAsia="Times New Roman" w:hAnsi="Times New Roman" w:cs="Times New Roman"/>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0" w15:restartNumberingAfterBreak="0">
    <w:nsid w:val="5DEB48D9"/>
    <w:multiLevelType w:val="hybridMultilevel"/>
    <w:tmpl w:val="C9E28EDA"/>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1" w15:restartNumberingAfterBreak="0">
    <w:nsid w:val="614D104B"/>
    <w:multiLevelType w:val="hybridMultilevel"/>
    <w:tmpl w:val="66344F38"/>
    <w:lvl w:ilvl="0" w:tplc="141A0017">
      <w:start w:val="1"/>
      <w:numFmt w:val="lowerLetter"/>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15:restartNumberingAfterBreak="0">
    <w:nsid w:val="723073BE"/>
    <w:multiLevelType w:val="hybridMultilevel"/>
    <w:tmpl w:val="1388C5D6"/>
    <w:lvl w:ilvl="0" w:tplc="470CF762">
      <w:start w:val="1"/>
      <w:numFmt w:val="bullet"/>
      <w:lvlText w:val=""/>
      <w:lvlJc w:val="left"/>
      <w:pPr>
        <w:ind w:left="720" w:hanging="360"/>
      </w:pPr>
      <w:rPr>
        <w:rFonts w:ascii="Symbol" w:hAnsi="Symbol"/>
      </w:rPr>
    </w:lvl>
    <w:lvl w:ilvl="1" w:tplc="F94A2FA0">
      <w:start w:val="1"/>
      <w:numFmt w:val="bullet"/>
      <w:lvlText w:val=""/>
      <w:lvlJc w:val="left"/>
      <w:pPr>
        <w:ind w:left="720" w:hanging="360"/>
      </w:pPr>
      <w:rPr>
        <w:rFonts w:ascii="Symbol" w:hAnsi="Symbol"/>
      </w:rPr>
    </w:lvl>
    <w:lvl w:ilvl="2" w:tplc="536CBCB4">
      <w:start w:val="1"/>
      <w:numFmt w:val="bullet"/>
      <w:lvlText w:val=""/>
      <w:lvlJc w:val="left"/>
      <w:pPr>
        <w:ind w:left="720" w:hanging="360"/>
      </w:pPr>
      <w:rPr>
        <w:rFonts w:ascii="Symbol" w:hAnsi="Symbol"/>
      </w:rPr>
    </w:lvl>
    <w:lvl w:ilvl="3" w:tplc="CB0059C4">
      <w:start w:val="1"/>
      <w:numFmt w:val="bullet"/>
      <w:lvlText w:val=""/>
      <w:lvlJc w:val="left"/>
      <w:pPr>
        <w:ind w:left="720" w:hanging="360"/>
      </w:pPr>
      <w:rPr>
        <w:rFonts w:ascii="Symbol" w:hAnsi="Symbol"/>
      </w:rPr>
    </w:lvl>
    <w:lvl w:ilvl="4" w:tplc="4210E788">
      <w:start w:val="1"/>
      <w:numFmt w:val="bullet"/>
      <w:lvlText w:val=""/>
      <w:lvlJc w:val="left"/>
      <w:pPr>
        <w:ind w:left="720" w:hanging="360"/>
      </w:pPr>
      <w:rPr>
        <w:rFonts w:ascii="Symbol" w:hAnsi="Symbol"/>
      </w:rPr>
    </w:lvl>
    <w:lvl w:ilvl="5" w:tplc="02BA1336">
      <w:start w:val="1"/>
      <w:numFmt w:val="bullet"/>
      <w:lvlText w:val=""/>
      <w:lvlJc w:val="left"/>
      <w:pPr>
        <w:ind w:left="720" w:hanging="360"/>
      </w:pPr>
      <w:rPr>
        <w:rFonts w:ascii="Symbol" w:hAnsi="Symbol"/>
      </w:rPr>
    </w:lvl>
    <w:lvl w:ilvl="6" w:tplc="72C0C4D0">
      <w:start w:val="1"/>
      <w:numFmt w:val="bullet"/>
      <w:lvlText w:val=""/>
      <w:lvlJc w:val="left"/>
      <w:pPr>
        <w:ind w:left="720" w:hanging="360"/>
      </w:pPr>
      <w:rPr>
        <w:rFonts w:ascii="Symbol" w:hAnsi="Symbol"/>
      </w:rPr>
    </w:lvl>
    <w:lvl w:ilvl="7" w:tplc="E1E4A33A">
      <w:start w:val="1"/>
      <w:numFmt w:val="bullet"/>
      <w:lvlText w:val=""/>
      <w:lvlJc w:val="left"/>
      <w:pPr>
        <w:ind w:left="720" w:hanging="360"/>
      </w:pPr>
      <w:rPr>
        <w:rFonts w:ascii="Symbol" w:hAnsi="Symbol"/>
      </w:rPr>
    </w:lvl>
    <w:lvl w:ilvl="8" w:tplc="7A742BD8">
      <w:start w:val="1"/>
      <w:numFmt w:val="bullet"/>
      <w:lvlText w:val=""/>
      <w:lvlJc w:val="left"/>
      <w:pPr>
        <w:ind w:left="720" w:hanging="360"/>
      </w:pPr>
      <w:rPr>
        <w:rFonts w:ascii="Symbol" w:hAnsi="Symbol"/>
      </w:rPr>
    </w:lvl>
  </w:abstractNum>
  <w:abstractNum w:abstractNumId="33" w15:restartNumberingAfterBreak="0">
    <w:nsid w:val="7EC806A0"/>
    <w:multiLevelType w:val="hybridMultilevel"/>
    <w:tmpl w:val="D2AEED84"/>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1"/>
  </w:num>
  <w:num w:numId="4">
    <w:abstractNumId w:val="28"/>
  </w:num>
  <w:num w:numId="5">
    <w:abstractNumId w:val="7"/>
  </w:num>
  <w:num w:numId="6">
    <w:abstractNumId w:val="30"/>
  </w:num>
  <w:num w:numId="7">
    <w:abstractNumId w:val="15"/>
  </w:num>
  <w:num w:numId="8">
    <w:abstractNumId w:val="5"/>
  </w:num>
  <w:num w:numId="9">
    <w:abstractNumId w:val="22"/>
  </w:num>
  <w:num w:numId="10">
    <w:abstractNumId w:val="14"/>
  </w:num>
  <w:num w:numId="11">
    <w:abstractNumId w:val="10"/>
  </w:num>
  <w:num w:numId="12">
    <w:abstractNumId w:val="16"/>
  </w:num>
  <w:num w:numId="13">
    <w:abstractNumId w:val="9"/>
  </w:num>
  <w:num w:numId="14">
    <w:abstractNumId w:val="20"/>
  </w:num>
  <w:num w:numId="15">
    <w:abstractNumId w:val="1"/>
  </w:num>
  <w:num w:numId="16">
    <w:abstractNumId w:val="33"/>
  </w:num>
  <w:num w:numId="17">
    <w:abstractNumId w:val="2"/>
  </w:num>
  <w:num w:numId="18">
    <w:abstractNumId w:val="29"/>
  </w:num>
  <w:num w:numId="19">
    <w:abstractNumId w:val="0"/>
  </w:num>
  <w:num w:numId="20">
    <w:abstractNumId w:val="8"/>
  </w:num>
  <w:num w:numId="21">
    <w:abstractNumId w:val="25"/>
  </w:num>
  <w:num w:numId="22">
    <w:abstractNumId w:val="19"/>
  </w:num>
  <w:num w:numId="23">
    <w:abstractNumId w:val="31"/>
  </w:num>
  <w:num w:numId="24">
    <w:abstractNumId w:val="24"/>
  </w:num>
  <w:num w:numId="25">
    <w:abstractNumId w:val="3"/>
  </w:num>
  <w:num w:numId="26">
    <w:abstractNumId w:val="17"/>
  </w:num>
  <w:num w:numId="27">
    <w:abstractNumId w:val="32"/>
  </w:num>
  <w:num w:numId="28">
    <w:abstractNumId w:val="13"/>
  </w:num>
  <w:num w:numId="29">
    <w:abstractNumId w:val="12"/>
  </w:num>
  <w:num w:numId="30">
    <w:abstractNumId w:val="11"/>
  </w:num>
  <w:num w:numId="31">
    <w:abstractNumId w:val="23"/>
  </w:num>
  <w:num w:numId="32">
    <w:abstractNumId w:val="18"/>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FE"/>
    <w:rsid w:val="00011515"/>
    <w:rsid w:val="00084BDD"/>
    <w:rsid w:val="001A6664"/>
    <w:rsid w:val="0028547C"/>
    <w:rsid w:val="002D13D4"/>
    <w:rsid w:val="0032655E"/>
    <w:rsid w:val="00345F28"/>
    <w:rsid w:val="00361750"/>
    <w:rsid w:val="003C33F7"/>
    <w:rsid w:val="004F6AE3"/>
    <w:rsid w:val="005135B5"/>
    <w:rsid w:val="005A4680"/>
    <w:rsid w:val="005D5021"/>
    <w:rsid w:val="005D6694"/>
    <w:rsid w:val="00655D96"/>
    <w:rsid w:val="006B72B8"/>
    <w:rsid w:val="006C7731"/>
    <w:rsid w:val="00717BED"/>
    <w:rsid w:val="0072555E"/>
    <w:rsid w:val="00772FCE"/>
    <w:rsid w:val="007D53D2"/>
    <w:rsid w:val="007D6513"/>
    <w:rsid w:val="007E1BE8"/>
    <w:rsid w:val="008A1831"/>
    <w:rsid w:val="008A1A88"/>
    <w:rsid w:val="009A5F53"/>
    <w:rsid w:val="00A82736"/>
    <w:rsid w:val="00AB0080"/>
    <w:rsid w:val="00CA101F"/>
    <w:rsid w:val="00CA41A7"/>
    <w:rsid w:val="00CA79E4"/>
    <w:rsid w:val="00D0655E"/>
    <w:rsid w:val="00D81E32"/>
    <w:rsid w:val="00E33F6F"/>
    <w:rsid w:val="00EE4BFE"/>
    <w:rsid w:val="00EF7845"/>
    <w:rsid w:val="00F02303"/>
    <w:rsid w:val="00F64A1D"/>
    <w:rsid w:val="00F73848"/>
    <w:rsid w:val="00FF0F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13E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pPr>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bs-Latn-BA" w:eastAsia="bs-Latn-BA"/>
    </w:rPr>
  </w:style>
  <w:style w:type="character" w:styleId="EndnoteReference">
    <w:name w:val="end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bs-Latn-BA" w:eastAsia="bs-Latn-BA"/>
    </w:rPr>
  </w:style>
  <w:style w:type="character" w:styleId="FootnoteReference">
    <w:name w:val="footnote reference"/>
    <w:rPr>
      <w:vertAlign w:val="superscript"/>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mbria" w:eastAsia="Times New Roman" w:hAnsi="Cambria" w:cs="Times New Roman"/>
      <w:b/>
      <w:bCs/>
      <w:kern w:val="32"/>
      <w:sz w:val="32"/>
      <w:szCs w:val="32"/>
      <w:lang w:val="bs-Latn-BA" w:eastAsia="bs-Latn-B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Spacing">
    <w:name w:val="No Spacing"/>
    <w:uiPriority w:val="1"/>
    <w:qFormat/>
    <w:rPr>
      <w:sz w:val="24"/>
      <w:szCs w:val="24"/>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874">
      <w:bodyDiv w:val="1"/>
      <w:marLeft w:val="0"/>
      <w:marRight w:val="0"/>
      <w:marTop w:val="0"/>
      <w:marBottom w:val="0"/>
      <w:divBdr>
        <w:top w:val="none" w:sz="0" w:space="0" w:color="auto"/>
        <w:left w:val="none" w:sz="0" w:space="0" w:color="auto"/>
        <w:bottom w:val="none" w:sz="0" w:space="0" w:color="auto"/>
        <w:right w:val="none" w:sz="0" w:space="0" w:color="auto"/>
      </w:divBdr>
    </w:div>
    <w:div w:id="147475966">
      <w:bodyDiv w:val="1"/>
      <w:marLeft w:val="0"/>
      <w:marRight w:val="0"/>
      <w:marTop w:val="0"/>
      <w:marBottom w:val="0"/>
      <w:divBdr>
        <w:top w:val="none" w:sz="0" w:space="0" w:color="auto"/>
        <w:left w:val="none" w:sz="0" w:space="0" w:color="auto"/>
        <w:bottom w:val="none" w:sz="0" w:space="0" w:color="auto"/>
        <w:right w:val="none" w:sz="0" w:space="0" w:color="auto"/>
      </w:divBdr>
    </w:div>
    <w:div w:id="299968011">
      <w:bodyDiv w:val="1"/>
      <w:marLeft w:val="0"/>
      <w:marRight w:val="0"/>
      <w:marTop w:val="0"/>
      <w:marBottom w:val="0"/>
      <w:divBdr>
        <w:top w:val="none" w:sz="0" w:space="0" w:color="auto"/>
        <w:left w:val="none" w:sz="0" w:space="0" w:color="auto"/>
        <w:bottom w:val="none" w:sz="0" w:space="0" w:color="auto"/>
        <w:right w:val="none" w:sz="0" w:space="0" w:color="auto"/>
      </w:divBdr>
    </w:div>
    <w:div w:id="317853549">
      <w:bodyDiv w:val="1"/>
      <w:marLeft w:val="0"/>
      <w:marRight w:val="0"/>
      <w:marTop w:val="0"/>
      <w:marBottom w:val="0"/>
      <w:divBdr>
        <w:top w:val="none" w:sz="0" w:space="0" w:color="auto"/>
        <w:left w:val="none" w:sz="0" w:space="0" w:color="auto"/>
        <w:bottom w:val="none" w:sz="0" w:space="0" w:color="auto"/>
        <w:right w:val="none" w:sz="0" w:space="0" w:color="auto"/>
      </w:divBdr>
    </w:div>
    <w:div w:id="444931139">
      <w:bodyDiv w:val="1"/>
      <w:marLeft w:val="0"/>
      <w:marRight w:val="0"/>
      <w:marTop w:val="0"/>
      <w:marBottom w:val="0"/>
      <w:divBdr>
        <w:top w:val="none" w:sz="0" w:space="0" w:color="auto"/>
        <w:left w:val="none" w:sz="0" w:space="0" w:color="auto"/>
        <w:bottom w:val="none" w:sz="0" w:space="0" w:color="auto"/>
        <w:right w:val="none" w:sz="0" w:space="0" w:color="auto"/>
      </w:divBdr>
    </w:div>
    <w:div w:id="536968262">
      <w:bodyDiv w:val="1"/>
      <w:marLeft w:val="0"/>
      <w:marRight w:val="0"/>
      <w:marTop w:val="0"/>
      <w:marBottom w:val="0"/>
      <w:divBdr>
        <w:top w:val="none" w:sz="0" w:space="0" w:color="auto"/>
        <w:left w:val="none" w:sz="0" w:space="0" w:color="auto"/>
        <w:bottom w:val="none" w:sz="0" w:space="0" w:color="auto"/>
        <w:right w:val="none" w:sz="0" w:space="0" w:color="auto"/>
      </w:divBdr>
    </w:div>
    <w:div w:id="615403780">
      <w:bodyDiv w:val="1"/>
      <w:marLeft w:val="0"/>
      <w:marRight w:val="0"/>
      <w:marTop w:val="0"/>
      <w:marBottom w:val="0"/>
      <w:divBdr>
        <w:top w:val="none" w:sz="0" w:space="0" w:color="auto"/>
        <w:left w:val="none" w:sz="0" w:space="0" w:color="auto"/>
        <w:bottom w:val="none" w:sz="0" w:space="0" w:color="auto"/>
        <w:right w:val="none" w:sz="0" w:space="0" w:color="auto"/>
      </w:divBdr>
    </w:div>
    <w:div w:id="645744489">
      <w:bodyDiv w:val="1"/>
      <w:marLeft w:val="0"/>
      <w:marRight w:val="0"/>
      <w:marTop w:val="0"/>
      <w:marBottom w:val="0"/>
      <w:divBdr>
        <w:top w:val="none" w:sz="0" w:space="0" w:color="auto"/>
        <w:left w:val="none" w:sz="0" w:space="0" w:color="auto"/>
        <w:bottom w:val="none" w:sz="0" w:space="0" w:color="auto"/>
        <w:right w:val="none" w:sz="0" w:space="0" w:color="auto"/>
      </w:divBdr>
    </w:div>
    <w:div w:id="648553037">
      <w:bodyDiv w:val="1"/>
      <w:marLeft w:val="0"/>
      <w:marRight w:val="0"/>
      <w:marTop w:val="0"/>
      <w:marBottom w:val="0"/>
      <w:divBdr>
        <w:top w:val="none" w:sz="0" w:space="0" w:color="auto"/>
        <w:left w:val="none" w:sz="0" w:space="0" w:color="auto"/>
        <w:bottom w:val="none" w:sz="0" w:space="0" w:color="auto"/>
        <w:right w:val="none" w:sz="0" w:space="0" w:color="auto"/>
      </w:divBdr>
    </w:div>
    <w:div w:id="730464598">
      <w:bodyDiv w:val="1"/>
      <w:marLeft w:val="0"/>
      <w:marRight w:val="0"/>
      <w:marTop w:val="0"/>
      <w:marBottom w:val="0"/>
      <w:divBdr>
        <w:top w:val="none" w:sz="0" w:space="0" w:color="auto"/>
        <w:left w:val="none" w:sz="0" w:space="0" w:color="auto"/>
        <w:bottom w:val="none" w:sz="0" w:space="0" w:color="auto"/>
        <w:right w:val="none" w:sz="0" w:space="0" w:color="auto"/>
      </w:divBdr>
    </w:div>
    <w:div w:id="780489115">
      <w:bodyDiv w:val="1"/>
      <w:marLeft w:val="0"/>
      <w:marRight w:val="0"/>
      <w:marTop w:val="0"/>
      <w:marBottom w:val="0"/>
      <w:divBdr>
        <w:top w:val="none" w:sz="0" w:space="0" w:color="auto"/>
        <w:left w:val="none" w:sz="0" w:space="0" w:color="auto"/>
        <w:bottom w:val="none" w:sz="0" w:space="0" w:color="auto"/>
        <w:right w:val="none" w:sz="0" w:space="0" w:color="auto"/>
      </w:divBdr>
    </w:div>
    <w:div w:id="843519005">
      <w:bodyDiv w:val="1"/>
      <w:marLeft w:val="0"/>
      <w:marRight w:val="0"/>
      <w:marTop w:val="0"/>
      <w:marBottom w:val="0"/>
      <w:divBdr>
        <w:top w:val="none" w:sz="0" w:space="0" w:color="auto"/>
        <w:left w:val="none" w:sz="0" w:space="0" w:color="auto"/>
        <w:bottom w:val="none" w:sz="0" w:space="0" w:color="auto"/>
        <w:right w:val="none" w:sz="0" w:space="0" w:color="auto"/>
      </w:divBdr>
    </w:div>
    <w:div w:id="1046369972">
      <w:bodyDiv w:val="1"/>
      <w:marLeft w:val="0"/>
      <w:marRight w:val="0"/>
      <w:marTop w:val="0"/>
      <w:marBottom w:val="0"/>
      <w:divBdr>
        <w:top w:val="none" w:sz="0" w:space="0" w:color="auto"/>
        <w:left w:val="none" w:sz="0" w:space="0" w:color="auto"/>
        <w:bottom w:val="none" w:sz="0" w:space="0" w:color="auto"/>
        <w:right w:val="none" w:sz="0" w:space="0" w:color="auto"/>
      </w:divBdr>
    </w:div>
    <w:div w:id="1094671329">
      <w:bodyDiv w:val="1"/>
      <w:marLeft w:val="0"/>
      <w:marRight w:val="0"/>
      <w:marTop w:val="0"/>
      <w:marBottom w:val="0"/>
      <w:divBdr>
        <w:top w:val="none" w:sz="0" w:space="0" w:color="auto"/>
        <w:left w:val="none" w:sz="0" w:space="0" w:color="auto"/>
        <w:bottom w:val="none" w:sz="0" w:space="0" w:color="auto"/>
        <w:right w:val="none" w:sz="0" w:space="0" w:color="auto"/>
      </w:divBdr>
    </w:div>
    <w:div w:id="1163275521">
      <w:bodyDiv w:val="1"/>
      <w:marLeft w:val="0"/>
      <w:marRight w:val="0"/>
      <w:marTop w:val="0"/>
      <w:marBottom w:val="0"/>
      <w:divBdr>
        <w:top w:val="none" w:sz="0" w:space="0" w:color="auto"/>
        <w:left w:val="none" w:sz="0" w:space="0" w:color="auto"/>
        <w:bottom w:val="none" w:sz="0" w:space="0" w:color="auto"/>
        <w:right w:val="none" w:sz="0" w:space="0" w:color="auto"/>
      </w:divBdr>
    </w:div>
    <w:div w:id="1482966595">
      <w:bodyDiv w:val="1"/>
      <w:marLeft w:val="0"/>
      <w:marRight w:val="0"/>
      <w:marTop w:val="0"/>
      <w:marBottom w:val="0"/>
      <w:divBdr>
        <w:top w:val="none" w:sz="0" w:space="0" w:color="auto"/>
        <w:left w:val="none" w:sz="0" w:space="0" w:color="auto"/>
        <w:bottom w:val="none" w:sz="0" w:space="0" w:color="auto"/>
        <w:right w:val="none" w:sz="0" w:space="0" w:color="auto"/>
      </w:divBdr>
    </w:div>
    <w:div w:id="1513371562">
      <w:bodyDiv w:val="1"/>
      <w:marLeft w:val="0"/>
      <w:marRight w:val="0"/>
      <w:marTop w:val="0"/>
      <w:marBottom w:val="0"/>
      <w:divBdr>
        <w:top w:val="none" w:sz="0" w:space="0" w:color="auto"/>
        <w:left w:val="none" w:sz="0" w:space="0" w:color="auto"/>
        <w:bottom w:val="none" w:sz="0" w:space="0" w:color="auto"/>
        <w:right w:val="none" w:sz="0" w:space="0" w:color="auto"/>
      </w:divBdr>
    </w:div>
    <w:div w:id="1583098675">
      <w:bodyDiv w:val="1"/>
      <w:marLeft w:val="0"/>
      <w:marRight w:val="0"/>
      <w:marTop w:val="0"/>
      <w:marBottom w:val="0"/>
      <w:divBdr>
        <w:top w:val="none" w:sz="0" w:space="0" w:color="auto"/>
        <w:left w:val="none" w:sz="0" w:space="0" w:color="auto"/>
        <w:bottom w:val="none" w:sz="0" w:space="0" w:color="auto"/>
        <w:right w:val="none" w:sz="0" w:space="0" w:color="auto"/>
      </w:divBdr>
    </w:div>
    <w:div w:id="1703434372">
      <w:bodyDiv w:val="1"/>
      <w:marLeft w:val="0"/>
      <w:marRight w:val="0"/>
      <w:marTop w:val="0"/>
      <w:marBottom w:val="0"/>
      <w:divBdr>
        <w:top w:val="none" w:sz="0" w:space="0" w:color="auto"/>
        <w:left w:val="none" w:sz="0" w:space="0" w:color="auto"/>
        <w:bottom w:val="none" w:sz="0" w:space="0" w:color="auto"/>
        <w:right w:val="none" w:sz="0" w:space="0" w:color="auto"/>
      </w:divBdr>
      <w:divsChild>
        <w:div w:id="1097753199">
          <w:marLeft w:val="0"/>
          <w:marRight w:val="0"/>
          <w:marTop w:val="0"/>
          <w:marBottom w:val="0"/>
          <w:divBdr>
            <w:top w:val="none" w:sz="0" w:space="0" w:color="auto"/>
            <w:left w:val="none" w:sz="0" w:space="0" w:color="auto"/>
            <w:bottom w:val="none" w:sz="0" w:space="0" w:color="auto"/>
            <w:right w:val="none" w:sz="0" w:space="0" w:color="auto"/>
          </w:divBdr>
        </w:div>
      </w:divsChild>
    </w:div>
    <w:div w:id="1792043492">
      <w:bodyDiv w:val="1"/>
      <w:marLeft w:val="0"/>
      <w:marRight w:val="0"/>
      <w:marTop w:val="0"/>
      <w:marBottom w:val="0"/>
      <w:divBdr>
        <w:top w:val="none" w:sz="0" w:space="0" w:color="auto"/>
        <w:left w:val="none" w:sz="0" w:space="0" w:color="auto"/>
        <w:bottom w:val="none" w:sz="0" w:space="0" w:color="auto"/>
        <w:right w:val="none" w:sz="0" w:space="0" w:color="auto"/>
      </w:divBdr>
    </w:div>
    <w:div w:id="18053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75AD-B8FE-4758-AA9C-CB3EDC77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2023-06-30T10:09:00Z</dcterms:created>
  <dcterms:modified xsi:type="dcterms:W3CDTF">2023-07-06T09:46:00Z</dcterms:modified>
</cp:coreProperties>
</file>