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imes New Roman" w:hAnsi="Times New Roman" w:cs="Times New Roman"/>
          <w:noProof/>
          <w:sz w:val="24"/>
          <w:szCs w:val="24"/>
          <w:lang w:val="sr-Cyrl-CS" w:eastAsia="hr-HR"/>
        </w:rPr>
      </w:pPr>
    </w:p>
    <w:p>
      <w:pPr>
        <w:spacing w:after="0"/>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На основу члана</w:t>
      </w:r>
      <w:r>
        <w:rPr>
          <w:rFonts w:ascii="Times New Roman" w:eastAsia="Times New Roman" w:hAnsi="Times New Roman" w:cs="Times New Roman"/>
          <w:noProof/>
          <w:sz w:val="24"/>
          <w:szCs w:val="24"/>
          <w:lang w:val="sr-Cyrl-CS"/>
        </w:rPr>
        <w:t xml:space="preserve"> 2. став (3) тачка ц) и члана 7. став (1) тачка б) Закона о Централној банци Босне и Херцеговине (''Службени гласник БиХ'', бр. 1/97, 29/02, 8/03, 13/03, 14/03, 9/05, 76/06 и 32/07) и члана 7. Одлуке о коначности поравнања (''Службени гласник БиХ'', бр. 39/25), </w:t>
      </w:r>
      <w:r>
        <w:rPr>
          <w:rFonts w:ascii="Times New Roman" w:eastAsia="Times New Roman" w:hAnsi="Times New Roman" w:cs="Times New Roman"/>
          <w:noProof/>
          <w:sz w:val="24"/>
          <w:szCs w:val="24"/>
          <w:lang w:val="sr-Cyrl-CS" w:eastAsia="hr-HR"/>
        </w:rPr>
        <w:t xml:space="preserve">Управни одбор Централне банке Босне и Херцеговине на 7. сједници, одржаној 10.7.2026. године, доноси </w:t>
      </w:r>
    </w:p>
    <w:p>
      <w:pPr>
        <w:spacing w:after="0"/>
        <w:jc w:val="both"/>
        <w:rPr>
          <w:rFonts w:ascii="Times New Roman" w:eastAsia="Times New Roman" w:hAnsi="Times New Roman" w:cs="Times New Roman"/>
          <w:noProof/>
          <w:sz w:val="24"/>
          <w:szCs w:val="24"/>
          <w:lang w:val="sr-Cyrl-CS" w:eastAsia="hr-HR"/>
        </w:rPr>
      </w:pPr>
    </w:p>
    <w:p>
      <w:pPr>
        <w:spacing w:after="0"/>
        <w:jc w:val="both"/>
        <w:rPr>
          <w:rFonts w:ascii="Times New Roman" w:eastAsia="Times New Roman" w:hAnsi="Times New Roman" w:cs="Times New Roman"/>
          <w:noProof/>
          <w:sz w:val="24"/>
          <w:szCs w:val="24"/>
          <w:lang w:val="sr-Cyrl-CS" w:eastAsia="hr-HR"/>
        </w:rPr>
      </w:pPr>
    </w:p>
    <w:p>
      <w:pPr>
        <w:spacing w:after="0"/>
        <w:jc w:val="center"/>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ОДЛУКУ</w:t>
      </w:r>
    </w:p>
    <w:p>
      <w:pPr>
        <w:spacing w:after="0"/>
        <w:jc w:val="center"/>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 о правилима рада система инстант плаћања Централне банке Босне и Херцеговине</w:t>
      </w:r>
    </w:p>
    <w:p>
      <w:pPr>
        <w:spacing w:after="0" w:line="240" w:lineRule="auto"/>
        <w:jc w:val="center"/>
        <w:rPr>
          <w:rFonts w:ascii="Times New Roman" w:hAnsi="Times New Roman" w:cs="Times New Roman"/>
          <w:b/>
          <w:noProof/>
          <w:kern w:val="2"/>
          <w:sz w:val="24"/>
          <w:szCs w:val="24"/>
          <w:lang w:val="sr-Cyrl-CS" w:eastAsia="hr-HR"/>
          <w14:ligatures w14:val="standardContextual"/>
        </w:rPr>
      </w:pP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ДИО ПРВИ: Опште одредбе</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(Предмет)</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Одлуком о правилима рада система инстант плаћања Централне банке Босне и Херцеговине (у даљнем тексту: (правила рада и ИПС БиХ) уређује се организација и рад ИПС БиХ, учесници система и услови учешћа, права, обавезе и одговорности учесника и Централне банке Босне и Херцеговине (у даљнем тексту: Централна банка), правила пријема и извршења инстант платних налога, правила поравнања и коначност поравнања, управљање ликвидношћу као и друга питања од значаја за функционисање система.</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(Циљ)</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ИПС БиХ обезбјеђује безбједно, поуздано и ефикасно поравнање инстант платних налога.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Правилима рада ИПС БиХ утврђују се правила и стандарди којима се уређује коришћење ИПС БиХ да би се обезбиједила безбједност, стабилност, заштита и позданост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Правила рада ИПС БиХ примјењују се на све учеснике ИПС БиХ.</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(Дефиниције)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Поједини појмови коришћени у овим правилима рада имају сљедећа значења:</w:t>
      </w:r>
    </w:p>
    <w:p>
      <w:pPr>
        <w:numPr>
          <w:ilvl w:val="0"/>
          <w:numId w:val="40"/>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ИПС је скраћеница од енглеског назива за платни систем инстант плаћања (</w:t>
      </w:r>
      <w:r>
        <w:rPr>
          <w:rFonts w:ascii="Times New Roman" w:eastAsia="Times New Roman" w:hAnsi="Times New Roman" w:cs="Times New Roman"/>
          <w:noProof/>
          <w:sz w:val="24"/>
          <w:szCs w:val="24"/>
          <w:lang w:val="sr-Latn-CS" w:eastAsia="hr-HR"/>
        </w:rPr>
        <w:t>Instant payment system</w:t>
      </w:r>
      <w:r>
        <w:rPr>
          <w:rFonts w:ascii="Times New Roman" w:eastAsia="Times New Roman" w:hAnsi="Times New Roman" w:cs="Times New Roman"/>
          <w:noProof/>
          <w:sz w:val="24"/>
          <w:szCs w:val="24"/>
          <w:lang w:val="sr-Cyrl-CS" w:eastAsia="hr-HR"/>
        </w:rPr>
        <w:t>).</w:t>
      </w:r>
    </w:p>
    <w:p>
      <w:pPr>
        <w:spacing w:after="0" w:line="360" w:lineRule="auto"/>
        <w:ind w:left="720" w:hanging="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б)  Налог за инстант плаћање је налог за извршење инстант кредитног трансфера, који може да се изврши 24 сата дневно, сваког календарског дана у години.</w:t>
      </w:r>
    </w:p>
    <w:p>
      <w:pPr>
        <w:spacing w:after="0" w:line="360" w:lineRule="auto"/>
        <w:ind w:left="630" w:hanging="27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ц) </w:t>
      </w:r>
      <w:r>
        <w:rPr>
          <w:rFonts w:ascii="Times New Roman" w:eastAsia="Times New Roman" w:hAnsi="Times New Roman" w:cs="Times New Roman"/>
          <w:noProof/>
          <w:sz w:val="24"/>
          <w:szCs w:val="24"/>
          <w:lang w:val="sr-Latn-CS" w:eastAsia="hr-HR"/>
        </w:rPr>
        <w:t xml:space="preserve">SCT inst </w:t>
      </w:r>
      <w:r>
        <w:rPr>
          <w:rFonts w:ascii="Times New Roman" w:eastAsia="Times New Roman" w:hAnsi="Times New Roman" w:cs="Times New Roman"/>
          <w:noProof/>
          <w:sz w:val="24"/>
          <w:szCs w:val="24"/>
          <w:lang w:val="sr-Cyrl-CS" w:eastAsia="hr-HR"/>
        </w:rPr>
        <w:t>шема (</w:t>
      </w:r>
      <w:r>
        <w:rPr>
          <w:rFonts w:ascii="Times New Roman" w:eastAsia="Times New Roman" w:hAnsi="Times New Roman" w:cs="Times New Roman"/>
          <w:noProof/>
          <w:sz w:val="24"/>
          <w:szCs w:val="24"/>
          <w:lang w:val="sr-Latn-CS" w:eastAsia="hr-HR"/>
        </w:rPr>
        <w:t>SEPA Instant Credit Transfer</w:t>
      </w:r>
      <w:r>
        <w:rPr>
          <w:rFonts w:ascii="Times New Roman" w:eastAsia="Times New Roman" w:hAnsi="Times New Roman" w:cs="Times New Roman"/>
          <w:noProof/>
          <w:sz w:val="24"/>
          <w:szCs w:val="24"/>
          <w:lang w:val="sr-Cyrl-CS" w:eastAsia="hr-HR"/>
        </w:rPr>
        <w:t>) је скуп правила, стандарда и процедура за извршење инстант кредитних трансфера који омогућава да средства буду стављена на располагање примаоцу у реалном времену, 24</w:t>
      </w:r>
      <w:r>
        <w:rPr>
          <w:rFonts w:ascii="Times New Roman" w:eastAsia="Times New Roman" w:hAnsi="Times New Roman" w:cs="Times New Roman"/>
          <w:noProof/>
          <w:sz w:val="24"/>
          <w:szCs w:val="24"/>
          <w:lang w:val="bs-Latn-BA" w:eastAsia="hr-HR"/>
        </w:rPr>
        <w:t>h</w:t>
      </w:r>
      <w:r>
        <w:rPr>
          <w:rFonts w:ascii="Times New Roman" w:eastAsia="Times New Roman" w:hAnsi="Times New Roman" w:cs="Times New Roman"/>
          <w:noProof/>
          <w:sz w:val="24"/>
          <w:szCs w:val="24"/>
          <w:lang w:val="sr-Cyrl-CS" w:eastAsia="hr-HR"/>
        </w:rPr>
        <w:t xml:space="preserve"> дневно, 7 дана у седмици у складу с правилима која прописује Европски савјет за плаћања.</w:t>
      </w:r>
    </w:p>
    <w:p>
      <w:pPr>
        <w:spacing w:after="0" w:line="360" w:lineRule="auto"/>
        <w:ind w:left="720" w:hanging="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д) </w:t>
      </w:r>
      <w:r>
        <w:rPr>
          <w:rFonts w:ascii="Times New Roman" w:eastAsia="Times New Roman" w:hAnsi="Times New Roman" w:cs="Times New Roman"/>
          <w:noProof/>
          <w:sz w:val="24"/>
          <w:szCs w:val="24"/>
          <w:lang w:val="sr-Latn-CS" w:eastAsia="hr-HR"/>
        </w:rPr>
        <w:t xml:space="preserve">CMB </w:t>
      </w:r>
      <w:r>
        <w:rPr>
          <w:rFonts w:ascii="Times New Roman" w:eastAsia="Times New Roman" w:hAnsi="Times New Roman" w:cs="Times New Roman"/>
          <w:noProof/>
          <w:sz w:val="24"/>
          <w:szCs w:val="24"/>
          <w:lang w:val="sr-Cyrl-CS" w:eastAsia="hr-HR"/>
        </w:rPr>
        <w:t>– салдо кредитни меморандум, врста рачуна који директни учесник обезбјеђује за индиректног учесника с властитим скупом лимита.</w:t>
      </w:r>
    </w:p>
    <w:p>
      <w:pPr>
        <w:spacing w:after="0" w:line="360" w:lineRule="auto"/>
        <w:ind w:left="720" w:hanging="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е) </w:t>
      </w:r>
      <w:r>
        <w:rPr>
          <w:rFonts w:ascii="Times New Roman" w:eastAsia="Times New Roman" w:hAnsi="Times New Roman" w:cs="Times New Roman"/>
          <w:noProof/>
          <w:sz w:val="24"/>
          <w:szCs w:val="24"/>
          <w:lang w:val="sr-Latn-CS" w:eastAsia="hr-HR"/>
        </w:rPr>
        <w:t>IBAN (International Bank Account Number</w:t>
      </w:r>
      <w:r>
        <w:rPr>
          <w:rFonts w:ascii="Times New Roman" w:eastAsia="Times New Roman" w:hAnsi="Times New Roman" w:cs="Times New Roman"/>
          <w:noProof/>
          <w:sz w:val="24"/>
          <w:szCs w:val="24"/>
          <w:lang w:val="sr-Cyrl-CS" w:eastAsia="hr-HR"/>
        </w:rPr>
        <w:t>) је јединствена међународна идентификациона ознака рачуна.</w:t>
      </w:r>
    </w:p>
    <w:p>
      <w:pPr>
        <w:spacing w:after="0" w:line="360" w:lineRule="auto"/>
        <w:ind w:left="720" w:hanging="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ф) </w:t>
      </w:r>
      <w:r>
        <w:rPr>
          <w:rFonts w:ascii="Times New Roman" w:eastAsia="Times New Roman" w:hAnsi="Times New Roman" w:cs="Times New Roman"/>
          <w:noProof/>
          <w:sz w:val="24"/>
          <w:szCs w:val="24"/>
          <w:lang w:val="sr-Latn-CS" w:eastAsia="hr-HR"/>
        </w:rPr>
        <w:t>ESMIG - (European single market infastructure gateway</w:t>
      </w:r>
      <w:r>
        <w:rPr>
          <w:rFonts w:ascii="Times New Roman" w:eastAsia="Times New Roman" w:hAnsi="Times New Roman" w:cs="Times New Roman"/>
          <w:noProof/>
          <w:sz w:val="24"/>
          <w:szCs w:val="24"/>
          <w:lang w:val="sr-Cyrl-CS" w:eastAsia="hr-HR"/>
        </w:rPr>
        <w:t xml:space="preserve">) је приступна тачка која финансијским институцијама омогућава безбједну везу с платним системима у евросистему. </w:t>
      </w:r>
    </w:p>
    <w:p>
      <w:pPr>
        <w:spacing w:after="0" w:line="360" w:lineRule="auto"/>
        <w:ind w:left="810" w:hanging="45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г)  Рачун за поравнање у ИПС БиХ представља намјенски рачун у ИПС БиХ који служи за поравнање трансакција инстант плаћања.</w:t>
      </w:r>
    </w:p>
    <w:p>
      <w:pPr>
        <w:spacing w:after="0" w:line="360" w:lineRule="auto"/>
        <w:ind w:left="810" w:hanging="45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х)  </w:t>
      </w:r>
      <w:r>
        <w:rPr>
          <w:rFonts w:ascii="Times New Roman" w:eastAsia="Times New Roman" w:hAnsi="Times New Roman" w:cs="Times New Roman"/>
          <w:noProof/>
          <w:sz w:val="24"/>
          <w:szCs w:val="24"/>
          <w:lang w:val="sr-Latn-CS" w:eastAsia="hr-HR"/>
        </w:rPr>
        <w:t xml:space="preserve">BIC </w:t>
      </w:r>
      <w:r>
        <w:rPr>
          <w:rFonts w:ascii="Times New Roman" w:eastAsia="Times New Roman" w:hAnsi="Times New Roman" w:cs="Times New Roman"/>
          <w:noProof/>
          <w:sz w:val="24"/>
          <w:szCs w:val="24"/>
          <w:lang w:val="sr-Cyrl-CS" w:eastAsia="hr-HR"/>
        </w:rPr>
        <w:t xml:space="preserve">- Банковни идентификациони код је јединствени код од осам или једанаест знакова који додјељује </w:t>
      </w:r>
      <w:r>
        <w:rPr>
          <w:rFonts w:ascii="Times New Roman" w:eastAsia="Times New Roman" w:hAnsi="Times New Roman" w:cs="Times New Roman"/>
          <w:noProof/>
          <w:sz w:val="24"/>
          <w:szCs w:val="24"/>
          <w:lang w:val="sr-Latn-CS" w:eastAsia="hr-HR"/>
        </w:rPr>
        <w:t xml:space="preserve">SWIFT. BIC </w:t>
      </w:r>
      <w:r>
        <w:rPr>
          <w:rFonts w:ascii="Times New Roman" w:eastAsia="Times New Roman" w:hAnsi="Times New Roman" w:cs="Times New Roman"/>
          <w:noProof/>
          <w:sz w:val="24"/>
          <w:szCs w:val="24"/>
          <w:lang w:val="sr-Cyrl-CS" w:eastAsia="hr-HR"/>
        </w:rPr>
        <w:t>се користи за идентификацију одређене банке приликом извршавања трансакција.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ДИО ДРУГИ: Услови учешћа у ИПС БиХ</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4.</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Учесници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Учесници у ИПС БиХ могу бити:</w:t>
      </w:r>
    </w:p>
    <w:p>
      <w:pPr>
        <w:numPr>
          <w:ilvl w:val="0"/>
          <w:numId w:val="38"/>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Централна банка;</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б)   банке;</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   остали пружаоци платних услуга.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Директни учесници у ИПС БиХ су Централна банка и банке.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Индиректни учесници ИПС БиХ су сви остали пружаоци платних услуга.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5.</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(Услови учешћа)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За укључење у систем ИПС БиХ директни учесник је обавезан да кумулативно испуни сљедеће услове:</w:t>
      </w:r>
    </w:p>
    <w:p>
      <w:pPr>
        <w:numPr>
          <w:ilvl w:val="0"/>
          <w:numId w:val="39"/>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да има успостављену конекцију на </w:t>
      </w:r>
      <w:r>
        <w:rPr>
          <w:rFonts w:ascii="Times New Roman" w:eastAsia="Times New Roman" w:hAnsi="Times New Roman" w:cs="Times New Roman"/>
          <w:noProof/>
          <w:sz w:val="24"/>
          <w:szCs w:val="24"/>
          <w:lang w:val="sr-Latn-CS" w:eastAsia="hr-HR"/>
        </w:rPr>
        <w:t>ESMIG</w:t>
      </w:r>
      <w:r>
        <w:rPr>
          <w:rFonts w:ascii="Times New Roman" w:eastAsia="Times New Roman" w:hAnsi="Times New Roman" w:cs="Times New Roman"/>
          <w:noProof/>
          <w:sz w:val="24"/>
          <w:szCs w:val="24"/>
          <w:lang w:val="sr-Cyrl-CS" w:eastAsia="hr-HR"/>
        </w:rPr>
        <w:t>,</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б) да има одобрење за обављање послова платног промета,</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 да има отворен рачун резерви код Централне банке,</w:t>
      </w:r>
    </w:p>
    <w:p>
      <w:pPr>
        <w:spacing w:after="0" w:line="360" w:lineRule="auto"/>
        <w:ind w:left="630" w:hanging="27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д) да је успјешно тестиран за рад у ИПС БиХ према тестним сценаријима Централне банке,</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е) да има отворен рачун за поравнање у ИПС БиХ,</w:t>
      </w:r>
    </w:p>
    <w:p>
      <w:pPr>
        <w:spacing w:after="0" w:line="360" w:lineRule="auto"/>
        <w:ind w:left="630" w:hanging="27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ф) да има потписану Изјаву о прихватању правила рада ИПС БиХ која је дата у Прилогу 1.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Индиректни учесник поред испуњавања услова прописаних у ставу (1), тачке а), б), д) и ф) овог члана  мора имати и закључен уговор с банком директним учесником у ИПС БиХ, која за њега обезбјеђује ликвидност, о чему директни учесник обавјештава Централну банку.</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Након што се испуне услови из ставова (1) и (2)  овог члана, Централна банка на писани захтјев потенцијалног учесника у ИПС БиХ доноси акт о статусу учесника.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Након доношења акта из става (3) овог члана, учесник је обавезан да достави Информацију  о овлаштеним корисницима ИПС БиХ која се даје на обрасцу који чини Прилог 2. и саставни је дио ових правила рада.</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6.</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(Управљање ликвидношћу)</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Учесник ИПС БиХ мора да обезбиједи довољно средстава за извршавање трансакција у ИПС БиХ.  У случају недовољног износа средстава за покриће трансакција на страни учесника, све његове трансакције послане у ИПС БиХ биће одбијене.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(2) Директни учесник ИПС који спонзорише индиректног учесника може да креира </w:t>
      </w:r>
      <w:r>
        <w:rPr>
          <w:rFonts w:ascii="Times New Roman" w:eastAsia="Times New Roman" w:hAnsi="Times New Roman" w:cs="Times New Roman"/>
          <w:noProof/>
          <w:sz w:val="24"/>
          <w:szCs w:val="24"/>
          <w:lang w:val="sr-Latn-CS" w:eastAsia="hr-HR"/>
        </w:rPr>
        <w:t xml:space="preserve">ˮCredit Memorandum Balance - CMBˮ </w:t>
      </w:r>
      <w:r>
        <w:rPr>
          <w:rFonts w:ascii="Times New Roman" w:eastAsia="Times New Roman" w:hAnsi="Times New Roman" w:cs="Times New Roman"/>
          <w:noProof/>
          <w:sz w:val="24"/>
          <w:szCs w:val="24"/>
          <w:lang w:val="sr-Cyrl-CS" w:eastAsia="hr-HR"/>
        </w:rPr>
        <w:t>за индиректног учесника, чиме ће све трансакције које се односе на тог индиректног учесника утицати на ЦМБ.</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Директни учесник мора да прати своје ЦМБ да би спријечио обуставу рада индиректних учесника које спонзорише.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Директни учесник у ИПС БиХ трансфере ликвидности (пуњење и пражњење рачуна) врши на начин да пуњење рачуна извршава путем организационе јединице код које држи рачун резерви, а пражњење врши самостално у интеракцији са ИПС БиХ. Изузетно, у случају техничких потешкоћа у комуникацији са ИПС БиХ, учесник ИПС БиХ пражњење може да изврши и путем писаног захтјева упућеног надлежној организационој јединици код које води рачун резерви.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(5) Директни учесник у ИПС БиХ трансфере ликвидности (пуњење и пражњење рачуна) обезбјеђује током радног времена система бруто поравнања у реалном времену (у </w:t>
      </w:r>
      <w:r>
        <w:rPr>
          <w:rFonts w:ascii="Times New Roman" w:eastAsia="Times New Roman" w:hAnsi="Times New Roman" w:cs="Times New Roman"/>
          <w:noProof/>
          <w:sz w:val="24"/>
          <w:szCs w:val="24"/>
          <w:lang w:val="sr-Cyrl-CS" w:eastAsia="hr-HR"/>
        </w:rPr>
        <w:lastRenderedPageBreak/>
        <w:t>даљњем тексту: БПРВ) подношењем захтјева надлежној организационој јединици код које држи рачун резерви.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(6) Централна банка може да, у случају када су трансакције одбијене због тога што директни учесник није на одговарајући начин управљао рачуном, наплати накнаде за неусклађеност због ометања услуге ИПС БиХ.</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7.</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(Обавезност учешћа у ИПС)</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Свака банка која у периоду од 1.1.2026. године закључно са 30.6.2026. године, изврши минимално један милион трансакција кумулативно у БПРВ и Жироклиринг систему, обавезна је да буде учесник ИПС БиХ од 1.1.2027. године.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Свака банка која у току календарске године оствари преко 500 хиљада трансакција кумулативно у БПРВ и Жироклиринг систему, обавезна је да буде учесник у ИПС БиХ, почевши од 1.7. наредне године.</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ДИО ТРЕЋИ: Управљање ИПС БиХ</w:t>
      </w: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8.</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(Оператер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је власник и оператер ИПС ЦББиХ.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Радно вријеме ИПС БиХ је 24 сата дневно, седам дана у седмици, 365 дана у години, укључујући викенде и празнике (24/7/365).</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Централна банка води листу активних учесника, благовремено је ажурира и објављује на званичној интернет страници.</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9.</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(Обавезе Централне банке)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ставља на располагање учесницима ИПС БиХ ажурну верзију техничке документације неопходне за функционисање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Централна банка може да предузме корективне мјере према учеснику ИПС БиХ који се не придржава правила рада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Централна банка одређује, мијења, ажурира и објављује тарифу накнада за ИПС БиХ услуге и исте обрачунава и наплаћује.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(4) Централна банка дефинише параметре ИПС БиХ који су наведени у </w:t>
      </w:r>
      <w:r>
        <w:rPr>
          <w:rFonts w:ascii="Times New Roman" w:eastAsia="Times New Roman" w:hAnsi="Times New Roman" w:cs="Times New Roman"/>
          <w:b/>
          <w:noProof/>
          <w:sz w:val="24"/>
          <w:szCs w:val="24"/>
          <w:lang w:val="sr-Cyrl-CS" w:eastAsia="hr-HR"/>
        </w:rPr>
        <w:t>Прилогу 3. и</w:t>
      </w:r>
      <w:r>
        <w:rPr>
          <w:rFonts w:ascii="Times New Roman" w:eastAsia="Times New Roman" w:hAnsi="Times New Roman" w:cs="Times New Roman"/>
          <w:noProof/>
          <w:sz w:val="24"/>
          <w:szCs w:val="24"/>
          <w:lang w:val="sr-Cyrl-CS" w:eastAsia="hr-HR"/>
        </w:rPr>
        <w:t xml:space="preserve"> чине саставни дио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(5) Централна банка учесницима ИПС БиХ обезбјеђује оперативну подршку и подршку управљања инцидентима.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10.</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(Одговорности Централне банке)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Централна банка обезбјеђује безбједно и стабилно функционисање ИПС БиХ у складу с овим правилима и међународно прихваћеним стандардима који се односе на рад платних инфраструктура.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11.</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(Одрицање од одговорности)</w:t>
      </w:r>
    </w:p>
    <w:p>
      <w:pPr>
        <w:spacing w:after="0" w:line="360" w:lineRule="auto"/>
        <w:jc w:val="both"/>
        <w:rPr>
          <w:rFonts w:ascii="Times New Roman" w:eastAsia="Times New Roman" w:hAnsi="Times New Roman" w:cs="Times New Roman"/>
          <w:noProof/>
          <w:sz w:val="24"/>
          <w:szCs w:val="24"/>
          <w:lang w:val="sr-Cyrl-CS"/>
        </w:rPr>
      </w:pPr>
      <w:r>
        <w:rPr>
          <w:rFonts w:ascii="Times New Roman" w:eastAsia="Times New Roman" w:hAnsi="Times New Roman" w:cs="Times New Roman"/>
          <w:noProof/>
          <w:sz w:val="24"/>
          <w:szCs w:val="24"/>
          <w:lang w:val="sr-Cyrl-CS"/>
        </w:rPr>
        <w:t>(1) Централна банка може да ограничи поравнање платних налога међу учесницима, те обустави рад ИПС БиХ на дуже или краће вријеме, ако је то потребно, да би се заштитили интереси Централне банке или учесника. Извршавање платних налога се зауставља или ограничава у таквим ситуацијама и Централна банка се неће сматрати одговорном за такво заустављање или ограничавање.</w:t>
      </w:r>
    </w:p>
    <w:p>
      <w:pPr>
        <w:spacing w:after="0" w:line="360" w:lineRule="auto"/>
        <w:jc w:val="both"/>
        <w:rPr>
          <w:rFonts w:ascii="Times New Roman" w:eastAsia="Times New Roman" w:hAnsi="Times New Roman" w:cs="Times New Roman"/>
          <w:noProof/>
          <w:sz w:val="24"/>
          <w:szCs w:val="24"/>
          <w:lang w:val="sr-Cyrl-CS"/>
        </w:rPr>
      </w:pPr>
      <w:r>
        <w:rPr>
          <w:rFonts w:ascii="Times New Roman" w:eastAsia="Times New Roman" w:hAnsi="Times New Roman" w:cs="Times New Roman"/>
          <w:noProof/>
          <w:sz w:val="24"/>
          <w:szCs w:val="24"/>
          <w:lang w:val="sr-Cyrl-CS"/>
        </w:rPr>
        <w:t>(2) Централна банка се неће сматрати одговорном за обустављање или отежано извршавање платних налога кад је то посљедица потешкоћа на мрежи.</w:t>
      </w:r>
    </w:p>
    <w:p>
      <w:pPr>
        <w:spacing w:after="0" w:line="360" w:lineRule="auto"/>
        <w:jc w:val="both"/>
        <w:rPr>
          <w:rFonts w:ascii="Times New Roman" w:eastAsia="Times New Roman" w:hAnsi="Times New Roman" w:cs="Times New Roman"/>
          <w:noProof/>
          <w:sz w:val="24"/>
          <w:szCs w:val="24"/>
          <w:lang w:val="sr-Cyrl-CS"/>
        </w:rPr>
      </w:pPr>
      <w:r>
        <w:rPr>
          <w:rFonts w:ascii="Times New Roman" w:eastAsia="Times New Roman" w:hAnsi="Times New Roman" w:cs="Times New Roman"/>
          <w:noProof/>
          <w:sz w:val="24"/>
          <w:szCs w:val="24"/>
          <w:lang w:val="sr-Cyrl-CS"/>
        </w:rPr>
        <w:t>(3) Централна банка се неће сматрати одговорном и неће трпити посљедице и преузети евентуалну штету за неизвршење, погрешно извршење или закашњело извршење платног налога које је проузроковао неки од учесника, трећа страна или догађај који се није могао предвидјети или избјећи.</w:t>
      </w:r>
    </w:p>
    <w:p>
      <w:pPr>
        <w:suppressAutoHyphens/>
        <w:autoSpaceDN w:val="0"/>
        <w:spacing w:after="0" w:line="240" w:lineRule="auto"/>
        <w:jc w:val="both"/>
        <w:rPr>
          <w:rFonts w:ascii="Times New Roman" w:eastAsia="Times New Roman" w:hAnsi="Times New Roman" w:cs="Times New Roman"/>
          <w:noProof/>
          <w:sz w:val="24"/>
          <w:szCs w:val="24"/>
          <w:lang w:val="sr-Cyrl-CS"/>
        </w:rPr>
      </w:pPr>
    </w:p>
    <w:p>
      <w:pPr>
        <w:suppressAutoHyphens/>
        <w:autoSpaceDN w:val="0"/>
        <w:spacing w:after="0" w:line="240" w:lineRule="auto"/>
        <w:jc w:val="both"/>
        <w:rPr>
          <w:rFonts w:ascii="Times New Roman" w:eastAsia="Times New Roman" w:hAnsi="Times New Roman" w:cs="Times New Roman"/>
          <w:noProof/>
          <w:sz w:val="24"/>
          <w:szCs w:val="24"/>
          <w:lang w:val="sr-Cyrl-CS"/>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ДИО ЧЕТВРТИ: Правила обраде</w:t>
      </w: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12.</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(Инстант плаћање)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У складу с овим правилима рада, инстант плаћање је платна трансакција извршена путем ИПС БиХ код које се пренос новчаних средстава, поравнање између учесника и стављање средстава на располагање примаоцу средстава извршава по бруто принципу у максималном времену за окончање трансакције од 10 секунди, при чему је поравнање неопозиво и коначно.</w:t>
      </w: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lastRenderedPageBreak/>
        <w:t>Члан 13.</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(Извршавање платних налога и валута плаћања у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Платни налози усмјерени у ИПС БиХ обавезно гласе на БАМ.</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Максимални износ појединачне трансакције упућене у ИПС БиХ је 5.000,00 БАМ.</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(3) Обавезни канал за иницирање плаћања у ИПС БиХ  је мобилна или електронска платформа за плаћање.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За иницирање платног налога у ИПС БиХ може се користити QР код (</w:t>
      </w:r>
      <w:r>
        <w:rPr>
          <w:rFonts w:ascii="Times New Roman" w:eastAsia="Times New Roman" w:hAnsi="Times New Roman" w:cs="Times New Roman"/>
          <w:noProof/>
          <w:sz w:val="24"/>
          <w:szCs w:val="24"/>
          <w:lang w:val="sr-Latn-CS" w:eastAsia="hr-HR"/>
        </w:rPr>
        <w:t>quick response code</w:t>
      </w:r>
      <w:r>
        <w:rPr>
          <w:rFonts w:ascii="Times New Roman" w:eastAsia="Times New Roman" w:hAnsi="Times New Roman" w:cs="Times New Roman"/>
          <w:noProof/>
          <w:sz w:val="24"/>
          <w:szCs w:val="24"/>
          <w:lang w:val="sr-Cyrl-CS" w:eastAsia="hr-HR"/>
        </w:rPr>
        <w:t>) у складу са спецификацијом коју ће објавити Централна банка.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14.</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(Временска ознака трансакције)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Учесник ИПС БиХ на страни налогодавца мора додати временску ознаку у трансакцију инстант плаћања, којом се означава почетак циклуса времена извршења. Временска ознака означава вријеме пријема, при чему је налогодавац дао своје овлаштење за ову инструкцију инстант плаћања, а учесник ИПС БиХ на страни налогодавца примио је инструкцију инстант плаћања.</w:t>
      </w:r>
    </w:p>
    <w:p>
      <w:pPr>
        <w:spacing w:before="60" w:after="60" w:line="360" w:lineRule="auto"/>
        <w:jc w:val="both"/>
        <w:rPr>
          <w:rFonts w:eastAsia="Times New Roman" w:cstheme="minorHAnsi"/>
          <w:noProof/>
          <w:szCs w:val="20"/>
          <w:lang w:val="sr-Cyrl-CS"/>
        </w:rPr>
      </w:pPr>
      <w:r>
        <w:rPr>
          <w:rFonts w:ascii="Times New Roman" w:eastAsia="Times New Roman" w:hAnsi="Times New Roman" w:cs="Times New Roman"/>
          <w:noProof/>
          <w:sz w:val="24"/>
          <w:szCs w:val="24"/>
          <w:lang w:val="sr-Cyrl-CS" w:eastAsia="hr-HR"/>
        </w:rPr>
        <w:t xml:space="preserve">(2) Учесник ИПС БиХ мора генерисати временске ознаке иницирања трансакције и све друге временске ознаке повезане с трансакцијама и догађајима који се односе на ИПС БиХ, користећи поуздан извор времена као што је нпр. </w:t>
      </w:r>
      <w:r>
        <w:rPr>
          <w:rFonts w:ascii="Times New Roman" w:eastAsia="Times New Roman" w:hAnsi="Times New Roman" w:cs="Times New Roman"/>
          <w:noProof/>
          <w:sz w:val="24"/>
          <w:szCs w:val="24"/>
          <w:lang w:val="sr-Latn-CS" w:eastAsia="hr-HR"/>
        </w:rPr>
        <w:t xml:space="preserve">ˮNTP stratum 1 serverˮ </w:t>
      </w:r>
      <w:r>
        <w:rPr>
          <w:rFonts w:ascii="Times New Roman" w:eastAsia="Times New Roman" w:hAnsi="Times New Roman" w:cs="Times New Roman"/>
          <w:noProof/>
          <w:sz w:val="24"/>
          <w:szCs w:val="24"/>
          <w:lang w:val="sr-Cyrl-CS" w:eastAsia="hr-HR"/>
        </w:rPr>
        <w:t>који користи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Све поруке о плаћању се морају обрадити од почетка до краја у оквиру максималног времена извршења у складу с Прилогом 3.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15.</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(Временска ограничења)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Максимално вријеме извршења за све врсте плаћања, осим физички запримљених </w:t>
      </w:r>
      <w:r>
        <w:rPr>
          <w:rFonts w:ascii="Times New Roman" w:eastAsia="Times New Roman" w:hAnsi="Times New Roman" w:cs="Times New Roman"/>
          <w:bCs/>
          <w:noProof/>
          <w:sz w:val="24"/>
          <w:szCs w:val="24"/>
          <w:lang w:val="sr-Cyrl-CS" w:eastAsia="hr-HR"/>
        </w:rPr>
        <w:t>платних налога</w:t>
      </w:r>
      <w:r>
        <w:rPr>
          <w:rFonts w:ascii="Times New Roman" w:eastAsia="Times New Roman" w:hAnsi="Times New Roman" w:cs="Times New Roman"/>
          <w:noProof/>
          <w:sz w:val="24"/>
          <w:szCs w:val="24"/>
          <w:lang w:val="sr-Cyrl-CS" w:eastAsia="hr-HR"/>
        </w:rPr>
        <w:t xml:space="preserve"> и </w:t>
      </w:r>
      <w:r>
        <w:rPr>
          <w:rFonts w:ascii="Times New Roman" w:eastAsia="Times New Roman" w:hAnsi="Times New Roman" w:cs="Times New Roman"/>
          <w:bCs/>
          <w:noProof/>
          <w:sz w:val="24"/>
          <w:szCs w:val="24"/>
          <w:lang w:val="sr-Cyrl-CS" w:eastAsia="hr-HR"/>
        </w:rPr>
        <w:t>плаћања усмјерених према Централној банци</w:t>
      </w:r>
      <w:r>
        <w:rPr>
          <w:rFonts w:ascii="Times New Roman" w:eastAsia="Times New Roman" w:hAnsi="Times New Roman" w:cs="Times New Roman"/>
          <w:noProof/>
          <w:sz w:val="24"/>
          <w:szCs w:val="24"/>
          <w:lang w:val="sr-Cyrl-CS" w:eastAsia="hr-HR"/>
        </w:rPr>
        <w:t>, дефинише се као:</w:t>
      </w:r>
    </w:p>
    <w:p>
      <w:pPr>
        <w:numPr>
          <w:ilvl w:val="0"/>
          <w:numId w:val="42"/>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период од </w:t>
      </w:r>
      <w:r>
        <w:rPr>
          <w:rFonts w:ascii="Times New Roman" w:eastAsia="Times New Roman" w:hAnsi="Times New Roman" w:cs="Times New Roman"/>
          <w:bCs/>
          <w:noProof/>
          <w:sz w:val="24"/>
          <w:szCs w:val="24"/>
          <w:lang w:val="sr-Cyrl-CS" w:eastAsia="hr-HR"/>
        </w:rPr>
        <w:t xml:space="preserve">тренутка иницирања плаћања </w:t>
      </w:r>
      <w:r>
        <w:rPr>
          <w:rFonts w:ascii="Times New Roman" w:eastAsia="Times New Roman" w:hAnsi="Times New Roman" w:cs="Times New Roman"/>
          <w:noProof/>
          <w:sz w:val="24"/>
          <w:szCs w:val="24"/>
          <w:lang w:val="sr-Cyrl-CS" w:eastAsia="hr-HR"/>
        </w:rPr>
        <w:t>до тренутка када учесник ИПС БиХ који је иницирао плаћање мора од ИПС БиХ примити или поруку о потврди или поруку о одбијању с одговарајућим кодом разлога,</w:t>
      </w:r>
    </w:p>
    <w:p>
      <w:pPr>
        <w:spacing w:after="0" w:line="360" w:lineRule="auto"/>
        <w:ind w:left="630" w:hanging="27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bs-Cyrl-BA" w:eastAsia="hr-HR"/>
        </w:rPr>
        <w:t xml:space="preserve">б) </w:t>
      </w:r>
      <w:r>
        <w:rPr>
          <w:rFonts w:ascii="Times New Roman" w:eastAsia="Times New Roman" w:hAnsi="Times New Roman" w:cs="Times New Roman"/>
          <w:noProof/>
          <w:sz w:val="24"/>
          <w:szCs w:val="24"/>
          <w:lang w:val="sr-Cyrl-CS" w:eastAsia="hr-HR"/>
        </w:rPr>
        <w:t xml:space="preserve">период од </w:t>
      </w:r>
      <w:r>
        <w:rPr>
          <w:rFonts w:ascii="Times New Roman" w:eastAsia="Times New Roman" w:hAnsi="Times New Roman" w:cs="Times New Roman"/>
          <w:bCs/>
          <w:noProof/>
          <w:sz w:val="24"/>
          <w:szCs w:val="24"/>
          <w:lang w:val="sr-Cyrl-CS" w:eastAsia="hr-HR"/>
        </w:rPr>
        <w:t xml:space="preserve">тренутка иницирања плаћања </w:t>
      </w:r>
      <w:r>
        <w:rPr>
          <w:rFonts w:ascii="Times New Roman" w:eastAsia="Times New Roman" w:hAnsi="Times New Roman" w:cs="Times New Roman"/>
          <w:noProof/>
          <w:sz w:val="24"/>
          <w:szCs w:val="24"/>
          <w:lang w:val="sr-Cyrl-CS" w:eastAsia="hr-HR"/>
        </w:rPr>
        <w:t>до тренутка када учесник ИПС БиХ примаоца мора ставити средства на располагање кориснику плаћања.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 xml:space="preserve">(2) Максимално вријеме извршења за физички запримљени </w:t>
      </w:r>
      <w:r>
        <w:rPr>
          <w:rFonts w:ascii="Times New Roman" w:eastAsia="Times New Roman" w:hAnsi="Times New Roman" w:cs="Times New Roman"/>
          <w:bCs/>
          <w:noProof/>
          <w:sz w:val="24"/>
          <w:szCs w:val="24"/>
          <w:lang w:val="sr-Cyrl-CS" w:eastAsia="hr-HR"/>
        </w:rPr>
        <w:t xml:space="preserve">платни налог </w:t>
      </w:r>
      <w:r>
        <w:rPr>
          <w:rFonts w:ascii="Times New Roman" w:eastAsia="Times New Roman" w:hAnsi="Times New Roman" w:cs="Times New Roman"/>
          <w:noProof/>
          <w:sz w:val="24"/>
          <w:szCs w:val="24"/>
          <w:lang w:val="sr-Cyrl-CS" w:eastAsia="hr-HR"/>
        </w:rPr>
        <w:t>дефинише се као:</w:t>
      </w:r>
    </w:p>
    <w:p>
      <w:pPr>
        <w:numPr>
          <w:ilvl w:val="0"/>
          <w:numId w:val="43"/>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период од </w:t>
      </w:r>
      <w:r>
        <w:rPr>
          <w:rFonts w:ascii="Times New Roman" w:eastAsia="Times New Roman" w:hAnsi="Times New Roman" w:cs="Times New Roman"/>
          <w:bCs/>
          <w:noProof/>
          <w:sz w:val="24"/>
          <w:szCs w:val="24"/>
          <w:lang w:val="sr-Cyrl-CS" w:eastAsia="hr-HR"/>
        </w:rPr>
        <w:t>тренутка креирања платног налога</w:t>
      </w:r>
      <w:r>
        <w:rPr>
          <w:rFonts w:ascii="Times New Roman" w:eastAsia="Times New Roman" w:hAnsi="Times New Roman" w:cs="Times New Roman"/>
          <w:noProof/>
          <w:sz w:val="24"/>
          <w:szCs w:val="24"/>
          <w:lang w:val="sr-Cyrl-CS" w:eastAsia="hr-HR"/>
        </w:rPr>
        <w:t xml:space="preserve"> до тренутка када учесник ИПС БиХ који је иницирао плаћање мора од ИПС примити или поруку о потврди или поруку о одбијању с одговарајућим кодом разлога;</w:t>
      </w:r>
    </w:p>
    <w:p>
      <w:pPr>
        <w:spacing w:after="0" w:line="360" w:lineRule="auto"/>
        <w:ind w:left="630" w:hanging="27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б)  период од </w:t>
      </w:r>
      <w:r>
        <w:rPr>
          <w:rFonts w:ascii="Times New Roman" w:eastAsia="Times New Roman" w:hAnsi="Times New Roman" w:cs="Times New Roman"/>
          <w:bCs/>
          <w:noProof/>
          <w:sz w:val="24"/>
          <w:szCs w:val="24"/>
          <w:lang w:val="sr-Cyrl-CS" w:eastAsia="hr-HR"/>
        </w:rPr>
        <w:t xml:space="preserve">тренутка креирања платног налога </w:t>
      </w:r>
      <w:r>
        <w:rPr>
          <w:rFonts w:ascii="Times New Roman" w:eastAsia="Times New Roman" w:hAnsi="Times New Roman" w:cs="Times New Roman"/>
          <w:noProof/>
          <w:sz w:val="24"/>
          <w:szCs w:val="24"/>
          <w:lang w:val="sr-Cyrl-CS" w:eastAsia="hr-HR"/>
        </w:rPr>
        <w:t>до тренутка када учесник ИПС БиХ примаоца мора ставити средства на располагање кориснику плаћања.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(3) Максимално вријеме извршења за </w:t>
      </w:r>
      <w:r>
        <w:rPr>
          <w:rFonts w:ascii="Times New Roman" w:eastAsia="Times New Roman" w:hAnsi="Times New Roman" w:cs="Times New Roman"/>
          <w:bCs/>
          <w:noProof/>
          <w:sz w:val="24"/>
          <w:szCs w:val="24"/>
          <w:lang w:val="sr-Cyrl-CS" w:eastAsia="hr-HR"/>
        </w:rPr>
        <w:t>плаћања усмјерена према Централној банци</w:t>
      </w:r>
      <w:r>
        <w:rPr>
          <w:rFonts w:ascii="Times New Roman" w:eastAsia="Times New Roman" w:hAnsi="Times New Roman" w:cs="Times New Roman"/>
          <w:noProof/>
          <w:sz w:val="24"/>
          <w:szCs w:val="24"/>
          <w:lang w:val="sr-Cyrl-CS" w:eastAsia="hr-HR"/>
        </w:rPr>
        <w:t xml:space="preserve"> дефинише се као период од </w:t>
      </w:r>
      <w:r>
        <w:rPr>
          <w:rFonts w:ascii="Times New Roman" w:eastAsia="Times New Roman" w:hAnsi="Times New Roman" w:cs="Times New Roman"/>
          <w:bCs/>
          <w:noProof/>
          <w:sz w:val="24"/>
          <w:szCs w:val="24"/>
          <w:lang w:val="sr-Cyrl-CS" w:eastAsia="hr-HR"/>
        </w:rPr>
        <w:t xml:space="preserve">тренутка иницирања плаћања, </w:t>
      </w:r>
      <w:r>
        <w:rPr>
          <w:rFonts w:ascii="Times New Roman" w:eastAsia="Times New Roman" w:hAnsi="Times New Roman" w:cs="Times New Roman"/>
          <w:noProof/>
          <w:sz w:val="24"/>
          <w:szCs w:val="24"/>
          <w:lang w:val="sr-Cyrl-CS" w:eastAsia="hr-HR"/>
        </w:rPr>
        <w:t xml:space="preserve">до тренутка када учесник ИПС БиХ који је иницирао плаћање мора од ИПС БиХ примити или поруку о потврди или поруку о одбијању с одговарајућим кодом разлога. На ова плаћања </w:t>
      </w:r>
      <w:r>
        <w:rPr>
          <w:rFonts w:ascii="Times New Roman" w:eastAsia="Times New Roman" w:hAnsi="Times New Roman" w:cs="Times New Roman"/>
          <w:bCs/>
          <w:noProof/>
          <w:sz w:val="24"/>
          <w:szCs w:val="24"/>
          <w:lang w:val="sr-Cyrl-CS" w:eastAsia="hr-HR"/>
        </w:rPr>
        <w:t>не примјењује се рок за стављање средстава на располагање кориснику плаћања</w:t>
      </w:r>
      <w:r>
        <w:rPr>
          <w:rFonts w:ascii="Times New Roman" w:eastAsia="Times New Roman" w:hAnsi="Times New Roman" w:cs="Times New Roman"/>
          <w:noProof/>
          <w:sz w:val="24"/>
          <w:szCs w:val="24"/>
          <w:lang w:val="sr-Cyrl-CS" w:eastAsia="hr-HR"/>
        </w:rPr>
        <w:t>.</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Максимално вријеме извршења мора остати исто без обзира на канал за иницирање плаћања путем којег је плаћање поднесено, број трансакција које је учесник ИПС БиХ примио у датом тренутку или било које друге провјере које је потребно извршити.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(5) Будући да доступност комуникационог канала и уређаја за обавјештавање између учесника ИПС БиХ на страни налогодавца и учесника ИПС БиХ на страни корисника те његовог клијента може бити независна и од учесника ИПС БиХ и од клијента, не примјењује се временско ограничење на пријем обавјештења о задужењу и одобрењу од стране налогодавца и корисника. Међутим, учесник ИПС БиХ мора одмах послати обавјештење клијенту.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(6) </w:t>
      </w:r>
      <w:r>
        <w:rPr>
          <w:rFonts w:ascii="Times New Roman" w:eastAsia="Times New Roman" w:hAnsi="Times New Roman" w:cs="Times New Roman"/>
          <w:noProof/>
          <w:sz w:val="24"/>
          <w:szCs w:val="24"/>
          <w:lang w:val="sr-Latn-CS" w:eastAsia="hr-HR"/>
        </w:rPr>
        <w:t xml:space="preserve">IPT1 Timeout </w:t>
      </w:r>
      <w:r>
        <w:rPr>
          <w:rFonts w:ascii="Times New Roman" w:eastAsia="Times New Roman" w:hAnsi="Times New Roman" w:cs="Times New Roman"/>
          <w:noProof/>
          <w:sz w:val="24"/>
          <w:szCs w:val="24"/>
          <w:lang w:val="sr-Cyrl-CS" w:eastAsia="hr-HR"/>
        </w:rPr>
        <w:t>(временско ограничење) је максимално дозвољено вријеме од временске ознаке иницирања плаћања до тренутка када ИПС БиХ прими поруку о плаћању од учесника ИПС на страни налогодавца, како је дефинисано у Прилогу 3.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(7) </w:t>
      </w:r>
      <w:r>
        <w:rPr>
          <w:rFonts w:ascii="Times New Roman" w:eastAsia="Times New Roman" w:hAnsi="Times New Roman" w:cs="Times New Roman"/>
          <w:noProof/>
          <w:sz w:val="24"/>
          <w:szCs w:val="24"/>
          <w:lang w:val="sr-Latn-CS" w:eastAsia="hr-HR"/>
        </w:rPr>
        <w:t xml:space="preserve">IPT2 Timeout </w:t>
      </w:r>
      <w:r>
        <w:rPr>
          <w:rFonts w:ascii="Times New Roman" w:eastAsia="Times New Roman" w:hAnsi="Times New Roman" w:cs="Times New Roman"/>
          <w:noProof/>
          <w:sz w:val="24"/>
          <w:szCs w:val="24"/>
          <w:lang w:val="sr-Cyrl-CS" w:eastAsia="hr-HR"/>
        </w:rPr>
        <w:t>(временско ограничење) је максимално вријеме од тренутка када ИПС БиХ прослиједи поруку о плаћању учеснику ИПС на страни примаоца до тренутка када ИПС БиХ мора примити одговор од учесника ИПС на страни примаоца, како је дефинисано у Прилогу 3.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(8) ИПС БиХ ће одбити све трансакције које прекораче временска ограничења наведена у ставовима (6) и (7) овог члана.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(9) Строго временско ограничење односно </w:t>
      </w:r>
      <w:r>
        <w:rPr>
          <w:rFonts w:ascii="Times New Roman" w:eastAsia="Times New Roman" w:hAnsi="Times New Roman" w:cs="Times New Roman"/>
          <w:noProof/>
          <w:sz w:val="24"/>
          <w:szCs w:val="24"/>
          <w:lang w:val="sr-Latn-CS" w:eastAsia="hr-HR"/>
        </w:rPr>
        <w:t xml:space="preserve">ˮHard timeoutˮ </w:t>
      </w:r>
      <w:r>
        <w:rPr>
          <w:rFonts w:ascii="Times New Roman" w:eastAsia="Times New Roman" w:hAnsi="Times New Roman" w:cs="Times New Roman"/>
          <w:noProof/>
          <w:sz w:val="24"/>
          <w:szCs w:val="24"/>
          <w:lang w:val="sr-Cyrl-CS" w:eastAsia="hr-HR"/>
        </w:rPr>
        <w:t>представља максимално вријеме чекања учесника на одговор ИПС БиХ, а које се рачуна од тренутка временске ознаке иницијације плаћања, како је дефинисано у Прилогу 3.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 xml:space="preserve">(10) У случају да учесник на страни налогодавца у ИПС БиХ не добије поруку од ИПС БиХ по истеку времену </w:t>
      </w:r>
      <w:r>
        <w:rPr>
          <w:rFonts w:ascii="Times New Roman" w:eastAsia="Times New Roman" w:hAnsi="Times New Roman" w:cs="Times New Roman"/>
          <w:noProof/>
          <w:sz w:val="24"/>
          <w:szCs w:val="24"/>
          <w:lang w:val="sr-Latn-CS" w:eastAsia="hr-HR"/>
        </w:rPr>
        <w:t xml:space="preserve">ˮhard timeout-aˮ </w:t>
      </w:r>
      <w:r>
        <w:rPr>
          <w:rFonts w:ascii="Times New Roman" w:eastAsia="Times New Roman" w:hAnsi="Times New Roman" w:cs="Times New Roman"/>
          <w:noProof/>
          <w:sz w:val="24"/>
          <w:szCs w:val="24"/>
          <w:lang w:val="sr-Cyrl-CS" w:eastAsia="hr-HR"/>
        </w:rPr>
        <w:t>учесник на страни налогодавца ослобађа средства налогодавца и о томе обавјештава налогодавца.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16.</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(Коначност поравнања)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Коначност поравнања односи се на тренутак када се инструкција плаћања мора сматрати коначном, неопозивом и неповратном. Плаћање се сматра коначним када је одговарајућа трансакција поравнања успјешно извршена и евидентирана у ИПС БиХ. Након поравнања, трансфер постаје неопозив, безуслован и правно извршив те не подлијеже сторнирању због инсолвентности или других поступака који утичу на учесника.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(2) Из оперативне перспективе, налог за плаћање постаје коначан и неопозив када ИПС БиХ, након што је успјешно валидирао позитиван одговор учесника ИПС на страни примаоца, задужи рачун за поравнање учесника ИПС на страни налогодавца и истовремено одобри рачун за поравнање учесника на страни примаоца.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17.</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(Извјештаји)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обезбјеђује да учесници ИПС БиХ могу да генеришу и преузимају извјештаје сходно техничкој документацији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Централна банка сарађује са учесницима ИПС БиХ у рјешавању било које врсте нејасноћа везаних за извјештаје.</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18.</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(Управљање ризицима и безбједност)</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ће поступати у складу с мјерама заштите података, управљања ризицима и безбједносне контроле, које укључују, али се не ограничавају на релевантне законе, прописе и повезане стандарде у Босни и Херцеговини.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Централна банка обезбјеђује повјерљивост, интегритет и безбједност својих података и информација у складу с примјењивим законима, правилима и прописима о заштити података, управљању ризицима и другим релевантним законима, прописима и повезаним стандардима у Босни и Херцеговини.</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lastRenderedPageBreak/>
        <w:t>Члан 19.</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(Управљање подацима)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Централна банка проводи одговарајуће поступке архивирања и чувања података у ИПС БиХ.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Централна банка чува као повјерљиве све информације добијене путем ИПС БиХ, осим ако:</w:t>
      </w:r>
    </w:p>
    <w:p>
      <w:pPr>
        <w:numPr>
          <w:ilvl w:val="0"/>
          <w:numId w:val="41"/>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су информације већ јавно доступне,</w:t>
      </w:r>
    </w:p>
    <w:p>
      <w:pPr>
        <w:spacing w:after="0" w:line="360" w:lineRule="auto"/>
        <w:ind w:left="630" w:hanging="27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б) је Централна банка раније знала за те информације, а такве информације нису прибављене уз било какву обавезу чувања повјерљивости,</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 се откривање информација захтијева у складу са законима у Босни и Херцеговини.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Централна банка поступа с личним подацима у ИПС БиХ у складу с важећим прописима из области заштите личних података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20.</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(Контрола и надзор рада учесника у ИПС БиХ)</w:t>
      </w:r>
    </w:p>
    <w:p>
      <w:pPr>
        <w:spacing w:after="0"/>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Централна банка управља, контролише и надзире рад ИПС БиХ и надгледа и контролише поступке учесника у ИПС БиХ.</w:t>
      </w:r>
    </w:p>
    <w:p>
      <w:pPr>
        <w:spacing w:after="0"/>
        <w:jc w:val="both"/>
        <w:rPr>
          <w:rFonts w:ascii="Times New Roman" w:hAnsi="Times New Roman" w:cs="Times New Roman"/>
          <w:noProof/>
          <w:sz w:val="24"/>
          <w:szCs w:val="24"/>
          <w:lang w:val="sr-Cyrl-CS"/>
        </w:rPr>
      </w:pPr>
    </w:p>
    <w:p>
      <w:pPr>
        <w:keepNext/>
        <w:keepLines/>
        <w:spacing w:after="0" w:line="240" w:lineRule="auto"/>
        <w:ind w:left="794" w:hanging="794"/>
        <w:jc w:val="center"/>
        <w:outlineLvl w:val="1"/>
        <w:rPr>
          <w:rFonts w:ascii="Times New Roman" w:eastAsiaTheme="majorEastAsia" w:hAnsi="Times New Roman" w:cs="Times New Roman"/>
          <w:b/>
          <w:noProof/>
          <w:sz w:val="24"/>
          <w:szCs w:val="24"/>
          <w:lang w:val="sr-Cyrl-CS" w:eastAsia="hr-HR"/>
        </w:rPr>
      </w:pPr>
      <w:bookmarkStart w:id="0" w:name="_Toc232692896"/>
      <w:r>
        <w:rPr>
          <w:rFonts w:ascii="Times New Roman" w:eastAsiaTheme="majorEastAsia" w:hAnsi="Times New Roman" w:cs="Times New Roman"/>
          <w:b/>
          <w:noProof/>
          <w:sz w:val="24"/>
          <w:szCs w:val="24"/>
          <w:lang w:val="sr-Cyrl-CS" w:eastAsia="hr-HR"/>
        </w:rPr>
        <w:t>Члан 21.</w:t>
      </w:r>
      <w:bookmarkEnd w:id="0"/>
    </w:p>
    <w:p>
      <w:pPr>
        <w:keepNext/>
        <w:keepLines/>
        <w:spacing w:after="0" w:line="240" w:lineRule="auto"/>
        <w:ind w:left="794" w:hanging="794"/>
        <w:jc w:val="center"/>
        <w:outlineLvl w:val="1"/>
        <w:rPr>
          <w:rFonts w:ascii="Times New Roman" w:eastAsiaTheme="majorEastAsia" w:hAnsi="Times New Roman" w:cs="Times New Roman"/>
          <w:b/>
          <w:noProof/>
          <w:sz w:val="24"/>
          <w:szCs w:val="24"/>
          <w:lang w:val="sr-Cyrl-CS" w:eastAsia="hr-HR"/>
        </w:rPr>
      </w:pPr>
      <w:bookmarkStart w:id="1" w:name="_Toc232692897"/>
      <w:r>
        <w:rPr>
          <w:rFonts w:ascii="Times New Roman" w:eastAsiaTheme="majorEastAsia" w:hAnsi="Times New Roman" w:cs="Times New Roman"/>
          <w:b/>
          <w:noProof/>
          <w:sz w:val="24"/>
          <w:szCs w:val="24"/>
          <w:lang w:val="sr-Cyrl-CS" w:eastAsia="hr-HR"/>
        </w:rPr>
        <w:t>(Поступање Централне банке у ванредним околностима)</w:t>
      </w:r>
      <w:bookmarkEnd w:id="1"/>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Централна банка у ванредним околностима предузима све неопходне мјере за обезбјеђење наставка поузданог, исправног и законитог рада ИПС БиХ, најкасније у року од два сата.</w:t>
      </w:r>
    </w:p>
    <w:p>
      <w:pPr>
        <w:spacing w:after="0" w:line="360" w:lineRule="auto"/>
        <w:jc w:val="both"/>
        <w:rPr>
          <w:rFonts w:ascii="Times New Roman" w:eastAsia="Times New Roman" w:hAnsi="Times New Roman" w:cs="Times New Roman"/>
          <w:noProof/>
          <w:sz w:val="24"/>
          <w:szCs w:val="24"/>
          <w:lang w:val="sr-Cyrl-CS" w:eastAsia="hr-HR"/>
        </w:rPr>
      </w:pPr>
    </w:p>
    <w:p>
      <w:pPr>
        <w:keepNext/>
        <w:keepLines/>
        <w:spacing w:after="0" w:line="240" w:lineRule="auto"/>
        <w:ind w:left="794" w:hanging="794"/>
        <w:jc w:val="center"/>
        <w:outlineLvl w:val="1"/>
        <w:rPr>
          <w:rFonts w:ascii="Times New Roman" w:eastAsiaTheme="majorEastAsia" w:hAnsi="Times New Roman" w:cs="Times New Roman"/>
          <w:b/>
          <w:noProof/>
          <w:sz w:val="24"/>
          <w:szCs w:val="24"/>
          <w:lang w:val="sr-Cyrl-CS" w:eastAsia="hr-HR"/>
        </w:rPr>
      </w:pPr>
      <w:bookmarkStart w:id="2" w:name="_Toc232692902"/>
      <w:r>
        <w:rPr>
          <w:rFonts w:ascii="Times New Roman" w:eastAsiaTheme="majorEastAsia" w:hAnsi="Times New Roman" w:cs="Times New Roman"/>
          <w:b/>
          <w:noProof/>
          <w:sz w:val="24"/>
          <w:szCs w:val="24"/>
          <w:lang w:val="sr-Cyrl-CS" w:eastAsia="hr-HR"/>
        </w:rPr>
        <w:t>Члан 22.</w:t>
      </w:r>
      <w:bookmarkEnd w:id="2"/>
    </w:p>
    <w:p>
      <w:pPr>
        <w:keepNext/>
        <w:keepLines/>
        <w:spacing w:after="0" w:line="240" w:lineRule="auto"/>
        <w:ind w:left="794" w:hanging="794"/>
        <w:jc w:val="center"/>
        <w:outlineLvl w:val="1"/>
        <w:rPr>
          <w:rFonts w:ascii="Times New Roman" w:eastAsiaTheme="majorEastAsia" w:hAnsi="Times New Roman" w:cs="Times New Roman"/>
          <w:b/>
          <w:noProof/>
          <w:sz w:val="24"/>
          <w:szCs w:val="24"/>
          <w:lang w:val="sr-Cyrl-CS" w:eastAsia="hr-HR"/>
        </w:rPr>
      </w:pPr>
      <w:bookmarkStart w:id="3" w:name="_Toc232692903"/>
      <w:r>
        <w:rPr>
          <w:rFonts w:ascii="Times New Roman" w:eastAsiaTheme="majorEastAsia" w:hAnsi="Times New Roman" w:cs="Times New Roman"/>
          <w:b/>
          <w:noProof/>
          <w:sz w:val="24"/>
          <w:szCs w:val="24"/>
          <w:lang w:val="sr-Cyrl-CS" w:eastAsia="hr-HR"/>
        </w:rPr>
        <w:t>(Управљање инцидентима)</w:t>
      </w:r>
      <w:bookmarkEnd w:id="3"/>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Учесници ИПС БиХ су дужни да доставе информације Централној банци о свим инцидентима повезаним с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Централна банка сарађује с учесницима ИПС БиХ на рјешавање инцидената повезаних с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Централна банка може да захтијева од учесника ИПС БиХ да достави додатне податке, информације, документе и друге релевантне евиденције о инциденту који је пријавио учесник ИПС.</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(4) Централна банка може да дефинише потребне корективне мјере и максимално вријеме за њихово извршење којих се учесник ИПС БиХ мора придржавати ради рјешавања инцидента и његовог узрока.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23.</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(Подржане врсте трансакција)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ИПС БиХ подржава све врсте платних трансакција у складу с техничком документацијом ИПС БиХ.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24.</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(Доступност)</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Учесник ИПС БиХ мора да омогући пријем и слање инстант платних налога.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25.</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(Подаци о платном налогу)</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Порука инстант плаћања (и повезани скуп података) предвиђају поље за податке о дознаци, које може да се користи за пренос неструктурираних података о дознаци до 140 знакова.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(3) Податке о дознаци које достави налогодавац у инструкцији за инстант платни налог учесник ИПС БиХ на страни налогодавца мора да прослиједи у цијелости и без измјена учеснику ИПС БиХ на страни примаоца.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Учесник на страни корисника мора примаоцу да достави примљене податке о дознаци у цијелости и без измјена.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(5) Учесник ИПС БиХ мора да врши обраду, (укључујући редовне токове обраде и токове обраде изузетака), у складу с овим правилима рада ИПС и повезаном техничком документацијом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(6) Плаћања с датумом и временима из будућности нису дозвољена.</w:t>
      </w:r>
    </w:p>
    <w:p>
      <w:pPr>
        <w:spacing w:after="0" w:line="360" w:lineRule="auto"/>
        <w:jc w:val="both"/>
        <w:rPr>
          <w:rFonts w:ascii="Times New Roman" w:eastAsia="Times New Roman" w:hAnsi="Times New Roman" w:cs="Times New Roman"/>
          <w:strike/>
          <w:noProof/>
          <w:sz w:val="24"/>
          <w:szCs w:val="24"/>
          <w:lang w:val="sr-Cyrl-CS" w:eastAsia="hr-HR"/>
        </w:rPr>
      </w:pPr>
      <w:r>
        <w:rPr>
          <w:rFonts w:ascii="Times New Roman" w:eastAsia="Times New Roman" w:hAnsi="Times New Roman" w:cs="Times New Roman"/>
          <w:noProof/>
          <w:sz w:val="24"/>
          <w:szCs w:val="24"/>
          <w:lang w:val="sr-Cyrl-CS" w:eastAsia="hr-HR"/>
        </w:rPr>
        <w:t>(7) Учесник ИПС БиХ мора благовремено генерисати временске ознаке иницирања трансакције и све друге временске ознаке за све трансакције и догађаје повезане с ИПС БиХ, у складу с Техничком документацијом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(8) Учесник ИПС БиХ мора поштивати обавезе у вези са скуповима података и атрибутима, у складу с Техничком документацијом ИПС БиХ.</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26.</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(Идентификација учесника и рачуна клијената учесника у ИПС)</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Сви учесници ИПС БиХ у складу с овим правилима рада ће бити јединствено идентификовани путем БИЦ-11.</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(2) Рачуни за плаћање клијената учесника ИПС БиХ идентификују се ИБАН-ом.</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27.</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(Опозив и захтјев за опозив)</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Опозив у ИПС БиХ настаје када учесник на страни налогодавца затражи поништење трансакције инстант плаћања.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(2) Учесник ИПС БиХ мора генерисати временску ознаку иницирања трансакције када креира поруку опозива, односно захтјева за опозив.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Учесник ИПС БиХ који поступа као иницијатор опозива може покренути опозив, односно захтјев за опозив, у оквиру максималног броја дана предвиђених за опозив односно у року од 13 мјесеци.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(4) У оквиру максималног броја дана предвиђених за одговор на опозив иницијатор опозива не може покренути нови захтјев за опозив.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(5) Учесник ИПС БиХ прималац захтјева за опозив дужан је да одговори на захтјев у року од 15 радних дана. </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28.</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(Иницијатор опозива)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Опозив инстант плаћања може да покрене учесник ИПС БиХ на страни налогодавца (иницијатор опозива) на начин да затражи поништење трансакције инстант плаћања. Поступак опозива може да покрене само иницијатор опозива, који то може учинити у име налогодавца.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Иницијатор опозива опозив може да покрене у сљедећим случајевима:</w:t>
      </w:r>
    </w:p>
    <w:p>
      <w:pPr>
        <w:numPr>
          <w:ilvl w:val="0"/>
          <w:numId w:val="35"/>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слање дупликата,</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б)  технички проблеми који су довели до погрешне трансакције,</w:t>
      </w:r>
    </w:p>
    <w:p>
      <w:pPr>
        <w:spacing w:after="0" w:line="360" w:lineRule="auto"/>
        <w:ind w:left="36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  преварна иницирана инструкција.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Захтјев за опозив од стране налогодавца може да покрене иницијатор опозива након што налогодавац затражи од иницијатора опозива поврат средстава по основу поравнате трансакције инстант плаћања, из разлога који није слање дупликата, технички проблеми који су довели до погрешних трансакција инстант плаћања или преварно иницирана инструкција инстант плаћања.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Иницијатор опозива може да одбије захтјев налогодавца за покретање опозива или захтјева за опозив уколико је тај захтјев поднесен након истека броја дана предвиђеног за опозив, рачунајући од датума извршења првобитне трансакције инстант плаћања.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(5) Иницијатор опозива мора да обавијести налогодавца да враћени износ може бити једнак првобитном износу плаћања или мањи од њега.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(6) Иницијатор опозива не може послати други опозив или захтјев за опозив који се односи на поравнато инстант плаћање након што прималац опозива достави позитиван или негативан одговор.</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(7) Иницијатор опозива може, на крају периода предвиђеног за одговор од стране примаоца опозива, послати захтјев за ажурирање статуса ако иницијатор опозива није примио никакав одговор од примаоца опозива.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(8) Приликом пријема и обраде поврата плаћања, иницијатор опозива мора се придржавати обавеза прописаних овим правилима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(9) Иницијатор опозива сагласан је да се износ који се враћа може разликовати од првобитног износа инстант плаћања, јер прималац опозива може одлучити да иницијатору опозива наплати накнаду.</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(10) Иницијатор опозива мора одобрити (кредитирати) рачун за плаћање налогодавца за износ позитивног одговора на опозив.</w:t>
      </w:r>
    </w:p>
    <w:p>
      <w:pPr>
        <w:spacing w:after="0" w:line="360" w:lineRule="auto"/>
        <w:jc w:val="both"/>
        <w:rPr>
          <w:rFonts w:ascii="Times New Roman" w:eastAsia="Times New Roman" w:hAnsi="Times New Roman" w:cs="Times New Roman"/>
          <w:noProof/>
          <w:sz w:val="24"/>
          <w:szCs w:val="24"/>
          <w:lang w:val="sr-Cyrl-CS" w:eastAsia="hr-HR"/>
        </w:rPr>
      </w:pPr>
    </w:p>
    <w:p>
      <w:pPr>
        <w:keepNext/>
        <w:keepLines/>
        <w:spacing w:after="0" w:line="240" w:lineRule="auto"/>
        <w:ind w:left="794" w:hanging="794"/>
        <w:jc w:val="center"/>
        <w:outlineLvl w:val="1"/>
        <w:rPr>
          <w:rFonts w:ascii="Times New Roman" w:eastAsiaTheme="majorEastAsia" w:hAnsi="Times New Roman" w:cs="Times New Roman"/>
          <w:b/>
          <w:noProof/>
          <w:sz w:val="24"/>
          <w:szCs w:val="24"/>
          <w:lang w:val="sr-Cyrl-CS" w:eastAsia="hr-HR"/>
        </w:rPr>
      </w:pPr>
      <w:r>
        <w:rPr>
          <w:rFonts w:ascii="Times New Roman" w:eastAsiaTheme="majorEastAsia" w:hAnsi="Times New Roman" w:cs="Times New Roman"/>
          <w:b/>
          <w:noProof/>
          <w:sz w:val="24"/>
          <w:szCs w:val="24"/>
          <w:lang w:val="sr-Cyrl-CS" w:eastAsia="hr-HR"/>
        </w:rPr>
        <w:t>Члан 29.</w:t>
      </w:r>
    </w:p>
    <w:p>
      <w:pPr>
        <w:keepNext/>
        <w:keepLines/>
        <w:spacing w:after="0" w:line="240" w:lineRule="auto"/>
        <w:ind w:left="794" w:hanging="794"/>
        <w:jc w:val="center"/>
        <w:outlineLvl w:val="1"/>
        <w:rPr>
          <w:rFonts w:ascii="Times New Roman" w:eastAsiaTheme="majorEastAsia" w:hAnsi="Times New Roman" w:cs="Times New Roman"/>
          <w:b/>
          <w:noProof/>
          <w:sz w:val="24"/>
          <w:szCs w:val="24"/>
          <w:lang w:val="sr-Cyrl-CS" w:eastAsia="hr-HR"/>
        </w:rPr>
      </w:pPr>
      <w:r>
        <w:rPr>
          <w:rFonts w:ascii="Times New Roman" w:eastAsiaTheme="majorEastAsia" w:hAnsi="Times New Roman" w:cs="Times New Roman"/>
          <w:b/>
          <w:noProof/>
          <w:sz w:val="24"/>
          <w:szCs w:val="24"/>
          <w:lang w:val="sr-Cyrl-CS" w:eastAsia="hr-HR"/>
        </w:rPr>
        <w:t>(Прималац опозива)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Прималац опозива мора одговорити на захтјев за опозив у року од 15 радних дана.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(2) Одговор на захтјев за опозив може бити позитиван или негативан. У случају позитивног одговора, прималац опозива врши поврат средстава (поврат плаћања </w:t>
      </w:r>
      <w:r>
        <w:rPr>
          <w:rFonts w:ascii="Times New Roman" w:eastAsia="Times New Roman" w:hAnsi="Times New Roman" w:cs="Times New Roman"/>
          <w:noProof/>
          <w:sz w:val="24"/>
          <w:szCs w:val="24"/>
          <w:lang w:val="sr-Latn-CS" w:eastAsia="hr-HR"/>
        </w:rPr>
        <w:t xml:space="preserve">pacs </w:t>
      </w:r>
      <w:r>
        <w:rPr>
          <w:rFonts w:ascii="Times New Roman" w:eastAsia="Times New Roman" w:hAnsi="Times New Roman" w:cs="Times New Roman"/>
          <w:noProof/>
          <w:sz w:val="24"/>
          <w:szCs w:val="24"/>
          <w:lang w:val="sr-Cyrl-CS" w:eastAsia="hr-HR"/>
        </w:rPr>
        <w:t>004). У случају негативног одговора, прималац опозива је обавезан да наведе разлог за такво поступање, што може бити:</w:t>
      </w:r>
    </w:p>
    <w:p>
      <w:pPr>
        <w:numPr>
          <w:ilvl w:val="0"/>
          <w:numId w:val="36"/>
        </w:numPr>
        <w:spacing w:after="0" w:line="360" w:lineRule="auto"/>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на рачуну за плаћање нема довољно средстава,</w:t>
      </w:r>
    </w:p>
    <w:p>
      <w:pPr>
        <w:spacing w:after="0" w:line="360" w:lineRule="auto"/>
        <w:ind w:left="72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б)   рачун за плаћање је затворен,</w:t>
      </w:r>
    </w:p>
    <w:p>
      <w:pPr>
        <w:spacing w:after="0" w:line="360" w:lineRule="auto"/>
        <w:ind w:left="72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   постоји правни разлог, који је потребно јасно текстуално образложити,</w:t>
      </w:r>
    </w:p>
    <w:p>
      <w:pPr>
        <w:spacing w:after="0" w:line="360" w:lineRule="auto"/>
        <w:ind w:left="72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д)   прималац одбио дати сагласност (ако је сагласност потребна),</w:t>
      </w:r>
    </w:p>
    <w:p>
      <w:pPr>
        <w:spacing w:after="0" w:line="360" w:lineRule="auto"/>
        <w:ind w:left="72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е)   прималац није доставио одговор у предвиђеном року, </w:t>
      </w:r>
    </w:p>
    <w:p>
      <w:pPr>
        <w:spacing w:after="0" w:line="360" w:lineRule="auto"/>
        <w:ind w:left="72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ф)  првобитна трансакција инстант плаћања никада није примљена,</w:t>
      </w:r>
    </w:p>
    <w:p>
      <w:pPr>
        <w:spacing w:after="0" w:line="360" w:lineRule="auto"/>
        <w:ind w:left="720"/>
        <w:contextualSpacing/>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г)   средства из првобитне трансакције инстант плаћања већ су враћена.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Прималац опозива може да изврши наплату накнаде иницијатора опозива само у случају позитивног одговора.</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30.</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(Истрага)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Учесник ИПС БиХ на страни налогодавца може да користи поступак истраге у изузетним ситуацијама повезаним с инстант плаћањима и захтјевом за опозив, у којима </w:t>
      </w:r>
      <w:r>
        <w:rPr>
          <w:rFonts w:ascii="Times New Roman" w:eastAsia="Times New Roman" w:hAnsi="Times New Roman" w:cs="Times New Roman"/>
          <w:noProof/>
          <w:sz w:val="24"/>
          <w:szCs w:val="24"/>
          <w:lang w:val="sr-Cyrl-CS" w:eastAsia="hr-HR"/>
        </w:rPr>
        <w:lastRenderedPageBreak/>
        <w:t>учесник ИПС БиХ на страни налогодавца није примио никакву поруку потврде након што је истекло вријеме за чекање (временско ограничење истраге и Одгода истраге за поруке које се не односе на плаћање) у складу с Прилогом 3. ових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Учесник ИПС БиХ мора генерисати временску ознаку иницирања трансакције када креира поруку захтјева за истрагу. Временска ознака означава почетну тачку у времену циклуса времена извршења за захтјев за истрагу.</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ИПС БиХ не намеће вријеме обраде, не утврђује временско ограничење од почетка до краја и не врши никакве провјере истека временских ограничења.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31.</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(Управљање ризицима и безбједност)</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Учесник ИПС БиХ мора поступати у складу са свим примјењивим законима и прописима у Босни и Херцеговини и обавезама у вези са СПН/ФТА и санкцијама.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Учесници у ИПС БиХ су  дужни поступати у складу с примјењивим поступцима и осигурати да су њихови интерни системи адекватно заштићени од интерних и екстерних ризика и безбједносних пријетњи.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Учесници у ИПС БиХ су дужни да обезбиједе повјерљивост, интегритет и безбједност својих података и информација у складу с примјењивим законима, правилима и прописима о заштити података, управљању ризицима и безбједности које објављује Централна банка или било који други регулаторни орган у Босни и Херцеговини.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Учесник ИПС БиХ дужан је одмах и без одгађања пријавити Централној банци све безбједносне инциденте и све преварне или сумњиве активности које се дешавају у оквиру ИПС БиХ или у системима повезаним с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(5) Учесник ИПС БиХ одговоран је за безбједност и заштиту података у вези с ИПС БиХ, чак и ако учесник повјери конекције или друге услуге било којим спољним странама.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(6) Учесник ИПС БиХ дужан је да преиспитује учинак и примјењивост својих контрола и/или механизама управљања ризицима и безбједношћу, те да изврши потребна побољшања или надоградње ради поступања по свим промјењивим ризицима и/или пријетњама.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(7) Учесник ИПС БиХ мора да обезбиједи да платни налози који се размјењују кроз ИПС БиХ не крше законе повезане са спречавањем прања новца, финансирањем тероризма или сличним кривичним дјелима. У случају било каквог одступања од наведеног, учесник ИПС БиХ мора такве случајеве одмах пријавити Централној банци.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(8) Учесник ИПС БиХ дужан је обезбиједити да се, приликом одобравања приступа ИПС БиХ, права приступа додјељују у складу са безбједносним принципима раздвајања дужности и најмањих привилегија. Централна банка може периодично преиспитивати та права приступа.</w:t>
      </w:r>
    </w:p>
    <w:p>
      <w:pPr>
        <w:spacing w:before="60" w:after="6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(9) Учесник ИПС БиХ мора да прати и обезбјеђује да његов пружалац мрежних услуга за ИПС БиХ у сваком тренутку обезбјеђује активну везу са ИПС БиХ платформом и одржава статус пружаоца мрежних услуга за ИПС БиХ.</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32.</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(Управљање подацима)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Учесник ИПС БиХ дужан је да успостави одговарајуће поступке за архивирање и вођење евиденција, укључујући одређивање периода чувања евиденција о подацима. Учесници ИПС БиХ су дужни да чувају податке, информације и евиденције током периода чувања, у складу с релевантним прописима о заштити и архивирању података.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33.</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(Управљање недоступношћу)</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(1) Учесник ИПС БиХ мора бити способан да обрађује </w:t>
      </w:r>
      <w:r>
        <w:rPr>
          <w:rFonts w:ascii="Times New Roman" w:eastAsia="Times New Roman" w:hAnsi="Times New Roman" w:cs="Times New Roman"/>
          <w:bCs/>
          <w:noProof/>
          <w:sz w:val="24"/>
          <w:szCs w:val="24"/>
          <w:lang w:val="sr-Cyrl-CS" w:eastAsia="hr-HR"/>
        </w:rPr>
        <w:t>инструкције за инстант плаћања</w:t>
      </w:r>
      <w:r>
        <w:rPr>
          <w:rFonts w:ascii="Times New Roman" w:eastAsia="Times New Roman" w:hAnsi="Times New Roman" w:cs="Times New Roman"/>
          <w:noProof/>
          <w:sz w:val="24"/>
          <w:szCs w:val="24"/>
          <w:lang w:val="sr-Cyrl-CS" w:eastAsia="hr-HR"/>
        </w:rPr>
        <w:t xml:space="preserve"> и </w:t>
      </w:r>
      <w:r>
        <w:rPr>
          <w:rFonts w:ascii="Times New Roman" w:eastAsia="Times New Roman" w:hAnsi="Times New Roman" w:cs="Times New Roman"/>
          <w:bCs/>
          <w:noProof/>
          <w:sz w:val="24"/>
          <w:szCs w:val="24"/>
          <w:lang w:val="sr-Cyrl-CS" w:eastAsia="hr-HR"/>
        </w:rPr>
        <w:t>трансакције у складу с овим правилима рада,</w:t>
      </w:r>
      <w:r>
        <w:rPr>
          <w:rFonts w:ascii="Times New Roman" w:eastAsia="Times New Roman" w:hAnsi="Times New Roman" w:cs="Times New Roman"/>
          <w:noProof/>
          <w:sz w:val="24"/>
          <w:szCs w:val="24"/>
          <w:lang w:val="sr-Cyrl-CS" w:eastAsia="hr-HR"/>
        </w:rPr>
        <w:t xml:space="preserve"> </w:t>
      </w:r>
      <w:r>
        <w:rPr>
          <w:rFonts w:ascii="Times New Roman" w:eastAsia="Times New Roman" w:hAnsi="Times New Roman" w:cs="Times New Roman"/>
          <w:bCs/>
          <w:noProof/>
          <w:sz w:val="24"/>
          <w:szCs w:val="24"/>
          <w:lang w:val="sr-Cyrl-CS" w:eastAsia="hr-HR"/>
        </w:rPr>
        <w:t>24 сата дневно, током свих календарских дана у години</w:t>
      </w:r>
      <w:r>
        <w:rPr>
          <w:rFonts w:ascii="Times New Roman" w:eastAsia="Times New Roman" w:hAnsi="Times New Roman" w:cs="Times New Roman"/>
          <w:noProof/>
          <w:sz w:val="24"/>
          <w:szCs w:val="24"/>
          <w:lang w:val="sr-Cyrl-CS" w:eastAsia="hr-HR"/>
        </w:rPr>
        <w:t>, осим у периодима дозвољеног прекида рада о којима Централна банка благовремено обавјештава учеснике.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Ова обавеза обухвата и све мјере за обезбјеђење континуитета пословања које је учесник ИПС БиХ успоставио самостално или које су успостављене у његово име, а које имају за циљ да обезбиједе непрекидну обраду инструкција за инстант плаћања и трансакција.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Учесник ИПС БиХ мора да обавијести Централну банку најмање два радна дана унапријед или и краће у изузетним околностима о свакој планираној недоступности која би могла или ће утицати на ИПС БиХ. Обавјештење треба да садржи све детаље о утицају недоступности и њеним узроцима.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(4) Учесник ИПС БиХ је дужан да  одмах обавијести своје клијенте о свакој планираној или непланираној недоступности.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(5) Учесник ИПС БиХ мора одмах да обавијести Централну банку о свакој непланираној недоступности која би могла или ће утицати на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 xml:space="preserve">(6) Учесник ИПС дужан је унапријед да обавијести своје клијенте о свакој планираној и непланираној недоступности која може или ће утицати на ИПС БиХ. </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(7) Директни учесник ИПС БиХ који спонзорише индиректног учесника дужан је одмах да обавијести своје индиректне учеснике, укључујући Централну банку, о свакој планираној недоступности ако планирано одржавање утиче на услуге које се пружају његовим доступним странама.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(8) Директни учесник ИПС БиХ који спонзорише индиректног учесника дужан га је одмах обавијестити укључујући Централну банку, о свакој непланираној недоступности.</w:t>
      </w: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 xml:space="preserve">ДИО ПЕТИ: Администрација статуса учесника  </w:t>
      </w: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34.</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(Суспензија и искључење)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може суспендовати или искључити учесника ИПС БиХ или предузети друге одговарајуће мјере ради обезбјеђења безбједног, ефикасног и дјелотворног рада ИПС БиХ ако се утврди да је учесник прекршио ова правила рада.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Централна банка ће благовремено обавијестити остале учеснике у ИПС БиХ о суспензији или искључењу другог учесника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(3) У случају суспензије или искључења директног учесника, његов индиректни учесник рад у ИПС БиХ може да оствари само преко другог директног учесника.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35.</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(Суспензија)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Централна банка може суспендовати учесника ИПС БиХ код којег утврди несуклађеност с правилима рада ИПС БиХ, чиме му онемогућава рад у ИПС БиХ у одређеном периоду.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36.</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(Искључење)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искључује учесника код којег утврди континуирану неусклађеност с правилима рада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Искључени учесник ИПС БиХ нема право на поврат, у цијелости или дјелимично, било којих накнада које су настале и/или које је платио прије датума искључења или након тога.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lastRenderedPageBreak/>
        <w:t xml:space="preserve">(3) Искључење се сматра коначним и неопозивим и искључени учесник ИПС БиХ за поновно учешће у систему мора испунити услове прописане чланом 5. ових правила рада.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37.</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(Иступање)</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Банка директни учесник ИПС БиХ која не подлијеже обавези из члана 7. ових правила рада као и индиректни учесници могу на властити захтјев иступити из ИПС БиХ.</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Захтјев за иступање се подноси у писаној форми, три мјесеца прије жељеног датума иступања.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(3) Ако је директни учесник који иступа у функцији спонзора индиректног учесника, приликом подношења захтјева из става (2) овог члана дужан је да о истом обавијести свог индиректног учесника.</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38.</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(Ограничење слања налога)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(1) Централна банка ће банци учеснику на страни налогодавца онемогућити слање налога за плаћање у случају два узастопна периода неиспуњења обавезне резерве, у складу с прописом Централне банке који уређује поступање банака по рачуну резерви.</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(2) Банка учесник из става (1) овог члана је обавезна да обезбиједи пријем налога за плаћање од других учесника.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39.</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(Рјешавање спорова)</w:t>
      </w:r>
    </w:p>
    <w:p>
      <w:p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Централна банка учествује у рјешавању евентуалних спорова који могу настати због неусклађеног поступања учесника ИПС БиХ с правилима рада система, на начин да доноси препоруке за поступање учесника ИПС БиХ, а с циљем проналаска мирног рјешења које ће задовољити све заинтересоване стране.</w:t>
      </w:r>
    </w:p>
    <w:p>
      <w:pPr>
        <w:spacing w:after="0" w:line="360" w:lineRule="auto"/>
        <w:jc w:val="center"/>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ДИО ШЕСТИ: Додатни сервиси ИПС БиХ</w:t>
      </w: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40.</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(Врсте додатних сервиса)</w:t>
      </w: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noProof/>
          <w:sz w:val="24"/>
          <w:szCs w:val="24"/>
          <w:lang w:val="sr-Cyrl-CS" w:eastAsia="hr-HR"/>
        </w:rPr>
        <w:t xml:space="preserve">У циљу обезбјеђења безбједног, поузданог и ефикасног рада ИПС БиХ и поравнања инстант платних налога у ИПС БиХ, Централна банка може да успостави сервисе за </w:t>
      </w:r>
      <w:r>
        <w:rPr>
          <w:rFonts w:ascii="Times New Roman" w:eastAsia="Times New Roman" w:hAnsi="Times New Roman" w:cs="Times New Roman"/>
          <w:noProof/>
          <w:sz w:val="24"/>
          <w:szCs w:val="24"/>
          <w:lang w:val="sr-Cyrl-CS" w:eastAsia="hr-HR"/>
        </w:rPr>
        <w:lastRenderedPageBreak/>
        <w:t xml:space="preserve">услугу провјере примаоца, услугу коришћења алтернативног начина идентификације клијента учесника (алиас база), као и друге сличне сервисе који служе истој намјени </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ДИО СЕДМИ: Прелазне и завршне одредбе</w:t>
      </w:r>
    </w:p>
    <w:p>
      <w:pPr>
        <w:spacing w:before="60" w:after="60" w:line="360" w:lineRule="auto"/>
        <w:jc w:val="both"/>
        <w:rPr>
          <w:rFonts w:ascii="Times New Roman" w:eastAsia="Times New Roman" w:hAnsi="Times New Roman" w:cs="Times New Roman"/>
          <w:noProof/>
          <w:sz w:val="24"/>
          <w:szCs w:val="24"/>
          <w:lang w:val="sr-Cyrl-CS" w:eastAsia="hr-HR"/>
        </w:rPr>
      </w:pP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Члан 41.</w:t>
      </w:r>
    </w:p>
    <w:p>
      <w:pPr>
        <w:spacing w:after="0" w:line="360" w:lineRule="auto"/>
        <w:jc w:val="center"/>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(Ступање на снагу)</w:t>
      </w:r>
    </w:p>
    <w:p>
      <w:pPr>
        <w:spacing w:after="0" w:line="360" w:lineRule="auto"/>
        <w:jc w:val="both"/>
        <w:rPr>
          <w:rFonts w:ascii="Times New Roman" w:eastAsia="Times New Roman" w:hAnsi="Times New Roman" w:cs="Times New Roman"/>
          <w:noProof/>
          <w:sz w:val="24"/>
          <w:szCs w:val="24"/>
          <w:lang w:val="sr-Cyrl-CS"/>
        </w:rPr>
      </w:pPr>
      <w:r>
        <w:rPr>
          <w:rFonts w:ascii="Times New Roman" w:eastAsia="Times New Roman" w:hAnsi="Times New Roman" w:cs="Times New Roman"/>
          <w:noProof/>
          <w:sz w:val="24"/>
          <w:szCs w:val="24"/>
          <w:lang w:val="sr-Cyrl-CS" w:eastAsia="zh-CN"/>
        </w:rPr>
        <w:t>Ова одлука ступа на снагу наредног дана од дана објављивања у “Службеном гласнику БиХ“, а објавит ће се и у “Службеним новинама Федерације БиХ“, “Службеном гласнику Републике Српске“ и “Службеном гласнику Брчко дистрикта БиХ“.</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eastAsia="Times New Roman" w:cstheme="minorHAnsi"/>
          <w:noProof/>
          <w:szCs w:val="20"/>
          <w:lang w:val="sr-Cyrl-CS"/>
        </w:rPr>
      </w:pPr>
    </w:p>
    <w:p>
      <w:pPr>
        <w:spacing w:after="0" w:line="240" w:lineRule="auto"/>
        <w:jc w:val="both"/>
        <w:rPr>
          <w:rFonts w:ascii="Times New Roman" w:eastAsia="Times New Roman" w:hAnsi="Times New Roman" w:cs="Times New Roman"/>
          <w:b/>
          <w:bCs/>
          <w:noProof/>
          <w:sz w:val="24"/>
          <w:szCs w:val="24"/>
          <w:lang w:val="sr-Cyrl-CS"/>
        </w:rPr>
      </w:pPr>
    </w:p>
    <w:p>
      <w:pPr>
        <w:tabs>
          <w:tab w:val="center" w:pos="7088"/>
        </w:tabs>
        <w:spacing w:after="0" w:line="240" w:lineRule="auto"/>
        <w:rPr>
          <w:rFonts w:ascii="Times New Roman" w:eastAsia="Times New Roman" w:hAnsi="Times New Roman" w:cs="Times New Roman"/>
          <w:b/>
          <w:bCs/>
          <w:noProof/>
          <w:sz w:val="24"/>
          <w:szCs w:val="24"/>
          <w:lang w:val="sr-Cyrl-CS"/>
        </w:rPr>
      </w:pPr>
      <w:r>
        <w:rPr>
          <w:rFonts w:ascii="Times New Roman" w:eastAsia="Times New Roman" w:hAnsi="Times New Roman" w:cs="Times New Roman"/>
          <w:bCs/>
          <w:noProof/>
          <w:sz w:val="24"/>
          <w:szCs w:val="24"/>
          <w:lang w:val="sr-Cyrl-CS"/>
        </w:rPr>
        <w:tab/>
      </w:r>
      <w:r>
        <w:rPr>
          <w:rFonts w:ascii="Times New Roman" w:eastAsia="Times New Roman" w:hAnsi="Times New Roman" w:cs="Times New Roman"/>
          <w:b/>
          <w:bCs/>
          <w:noProof/>
          <w:sz w:val="24"/>
          <w:szCs w:val="24"/>
          <w:lang w:val="sr-Cyrl-CS"/>
        </w:rPr>
        <w:t>Предсједавајућа</w:t>
      </w:r>
    </w:p>
    <w:p>
      <w:pPr>
        <w:tabs>
          <w:tab w:val="center" w:pos="7088"/>
        </w:tabs>
        <w:spacing w:after="0" w:line="240" w:lineRule="auto"/>
        <w:rPr>
          <w:rFonts w:ascii="Times New Roman" w:eastAsia="Times New Roman" w:hAnsi="Times New Roman" w:cs="Times New Roman"/>
          <w:b/>
          <w:bCs/>
          <w:noProof/>
          <w:sz w:val="24"/>
          <w:szCs w:val="24"/>
          <w:lang w:val="sr-Cyrl-CS"/>
        </w:rPr>
      </w:pPr>
      <w:r>
        <w:rPr>
          <w:rFonts w:ascii="Times New Roman" w:eastAsia="Times New Roman" w:hAnsi="Times New Roman" w:cs="Times New Roman"/>
          <w:b/>
          <w:bCs/>
          <w:noProof/>
          <w:sz w:val="24"/>
          <w:szCs w:val="24"/>
          <w:lang w:val="sr-Cyrl-CS"/>
        </w:rPr>
        <w:tab/>
        <w:t>Управног одбора Централне банке</w:t>
      </w:r>
    </w:p>
    <w:p>
      <w:pPr>
        <w:tabs>
          <w:tab w:val="center" w:pos="7088"/>
        </w:tabs>
        <w:spacing w:after="0" w:line="240" w:lineRule="auto"/>
        <w:rPr>
          <w:rFonts w:ascii="Times New Roman" w:eastAsia="Times New Roman" w:hAnsi="Times New Roman" w:cs="Times New Roman"/>
          <w:bCs/>
          <w:noProof/>
          <w:sz w:val="24"/>
          <w:szCs w:val="24"/>
          <w:lang w:val="sr-Cyrl-CS"/>
        </w:rPr>
      </w:pPr>
      <w:r>
        <w:rPr>
          <w:rFonts w:ascii="Times New Roman" w:eastAsia="Times New Roman" w:hAnsi="Times New Roman" w:cs="Times New Roman"/>
          <w:noProof/>
          <w:sz w:val="24"/>
          <w:szCs w:val="24"/>
          <w:lang w:val="sr-Cyrl-CS"/>
        </w:rPr>
        <w:t>Број: УВ-122-</w:t>
      </w:r>
      <w:r>
        <w:rPr>
          <w:rFonts w:ascii="Times New Roman" w:eastAsia="Times New Roman" w:hAnsi="Times New Roman" w:cs="Times New Roman"/>
          <w:sz w:val="24"/>
          <w:szCs w:val="24"/>
          <w:lang w:val="bs-Latn-BA"/>
        </w:rPr>
        <w:t>02-1-1024-6</w:t>
      </w:r>
      <w:r>
        <w:rPr>
          <w:rFonts w:ascii="Times New Roman" w:eastAsia="Times New Roman" w:hAnsi="Times New Roman" w:cs="Times New Roman"/>
          <w:noProof/>
          <w:sz w:val="24"/>
          <w:szCs w:val="24"/>
          <w:lang w:val="sr-Cyrl-CS"/>
        </w:rPr>
        <w:t>/26</w:t>
      </w:r>
      <w:r>
        <w:rPr>
          <w:rFonts w:ascii="Times New Roman" w:eastAsia="Times New Roman" w:hAnsi="Times New Roman" w:cs="Times New Roman"/>
          <w:noProof/>
          <w:sz w:val="24"/>
          <w:szCs w:val="24"/>
          <w:lang w:val="sr-Cyrl-CS"/>
        </w:rPr>
        <w:tab/>
      </w:r>
      <w:r>
        <w:rPr>
          <w:rFonts w:ascii="Times New Roman" w:eastAsia="Times New Roman" w:hAnsi="Times New Roman" w:cs="Times New Roman"/>
          <w:b/>
          <w:bCs/>
          <w:noProof/>
          <w:sz w:val="24"/>
          <w:szCs w:val="24"/>
          <w:lang w:val="sr-Cyrl-CS"/>
        </w:rPr>
        <w:t>Босне и Херцеговине</w:t>
      </w:r>
    </w:p>
    <w:p>
      <w:pPr>
        <w:tabs>
          <w:tab w:val="center" w:pos="7088"/>
        </w:tabs>
        <w:spacing w:after="0" w:line="240" w:lineRule="auto"/>
        <w:rPr>
          <w:rFonts w:ascii="Times New Roman" w:eastAsia="Times New Roman" w:hAnsi="Times New Roman" w:cs="Times New Roman"/>
          <w:bCs/>
          <w:noProof/>
          <w:sz w:val="24"/>
          <w:szCs w:val="24"/>
          <w:lang w:val="sr-Cyrl-CS"/>
        </w:rPr>
      </w:pPr>
      <w:r>
        <w:rPr>
          <w:rFonts w:ascii="Times New Roman" w:eastAsia="Times New Roman" w:hAnsi="Times New Roman" w:cs="Times New Roman"/>
          <w:noProof/>
          <w:sz w:val="24"/>
          <w:szCs w:val="24"/>
          <w:lang w:val="sr-Cyrl-CS"/>
        </w:rPr>
        <w:t xml:space="preserve">Сарајево, </w:t>
      </w:r>
      <w:r>
        <w:rPr>
          <w:rFonts w:ascii="Times New Roman" w:eastAsia="Times New Roman" w:hAnsi="Times New Roman" w:cs="Times New Roman"/>
          <w:noProof/>
          <w:sz w:val="24"/>
          <w:szCs w:val="24"/>
          <w:lang w:val="bs-Latn-BA"/>
        </w:rPr>
        <w:t>10</w:t>
      </w:r>
      <w:bookmarkStart w:id="4" w:name="_GoBack"/>
      <w:bookmarkEnd w:id="4"/>
      <w:r>
        <w:rPr>
          <w:rFonts w:ascii="Times New Roman" w:eastAsia="Times New Roman" w:hAnsi="Times New Roman" w:cs="Times New Roman"/>
          <w:noProof/>
          <w:color w:val="000000"/>
          <w:sz w:val="24"/>
          <w:szCs w:val="24"/>
          <w:lang w:val="sr-Cyrl-CS"/>
        </w:rPr>
        <w:t xml:space="preserve">.07.2026. </w:t>
      </w:r>
      <w:r>
        <w:rPr>
          <w:rFonts w:ascii="Times New Roman" w:eastAsia="Times New Roman" w:hAnsi="Times New Roman" w:cs="Times New Roman"/>
          <w:noProof/>
          <w:sz w:val="24"/>
          <w:szCs w:val="24"/>
          <w:lang w:val="sr-Cyrl-CS"/>
        </w:rPr>
        <w:t>године</w:t>
      </w:r>
    </w:p>
    <w:p>
      <w:pPr>
        <w:tabs>
          <w:tab w:val="center" w:pos="7088"/>
        </w:tabs>
        <w:spacing w:after="0" w:line="240" w:lineRule="auto"/>
        <w:rPr>
          <w:rFonts w:ascii="Times New Roman" w:eastAsia="Times New Roman" w:hAnsi="Times New Roman" w:cs="Times New Roman"/>
          <w:b/>
          <w:bCs/>
          <w:noProof/>
          <w:sz w:val="24"/>
          <w:szCs w:val="24"/>
          <w:lang w:val="sr-Cyrl-CS"/>
        </w:rPr>
      </w:pPr>
      <w:r>
        <w:rPr>
          <w:rFonts w:ascii="Times New Roman" w:eastAsia="Times New Roman" w:hAnsi="Times New Roman" w:cs="Times New Roman"/>
          <w:bCs/>
          <w:noProof/>
          <w:sz w:val="24"/>
          <w:szCs w:val="24"/>
          <w:lang w:val="sr-Cyrl-CS"/>
        </w:rPr>
        <w:tab/>
      </w:r>
      <w:r>
        <w:rPr>
          <w:rFonts w:ascii="Times New Roman" w:eastAsia="Times New Roman" w:hAnsi="Times New Roman" w:cs="Times New Roman"/>
          <w:b/>
          <w:noProof/>
          <w:sz w:val="24"/>
          <w:szCs w:val="24"/>
          <w:lang w:val="sr-Cyrl-CS"/>
        </w:rPr>
        <w:t>ГУВЕРНЕРКА</w:t>
      </w:r>
    </w:p>
    <w:p>
      <w:pPr>
        <w:tabs>
          <w:tab w:val="center" w:pos="7088"/>
        </w:tabs>
        <w:spacing w:after="0" w:line="240" w:lineRule="auto"/>
        <w:rPr>
          <w:rFonts w:ascii="Times New Roman" w:eastAsia="Times New Roman" w:hAnsi="Times New Roman" w:cs="Times New Roman"/>
          <w:b/>
          <w:bCs/>
          <w:noProof/>
          <w:sz w:val="24"/>
          <w:szCs w:val="24"/>
          <w:lang w:val="sr-Cyrl-CS"/>
        </w:rPr>
      </w:pPr>
      <w:r>
        <w:rPr>
          <w:rFonts w:ascii="Times New Roman" w:eastAsia="Times New Roman" w:hAnsi="Times New Roman" w:cs="Times New Roman"/>
          <w:b/>
          <w:bCs/>
          <w:noProof/>
          <w:sz w:val="24"/>
          <w:szCs w:val="24"/>
          <w:lang w:val="sr-Cyrl-CS"/>
        </w:rPr>
        <w:tab/>
        <w:t>др Јасмина Селимовић</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bookmarkStart w:id="5" w:name="_Ref229473724"/>
      <w:bookmarkStart w:id="6" w:name="_Toc232693019"/>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line="360" w:lineRule="auto"/>
        <w:jc w:val="both"/>
        <w:rPr>
          <w:rFonts w:ascii="Times New Roman" w:eastAsia="Times New Roman" w:hAnsi="Times New Roman" w:cs="Times New Roman"/>
          <w:b/>
          <w:noProof/>
          <w:sz w:val="24"/>
          <w:szCs w:val="24"/>
          <w:lang w:val="sr-Cyrl-CS" w:eastAsia="hr-HR"/>
        </w:rPr>
      </w:pPr>
    </w:p>
    <w:p>
      <w:pPr>
        <w:spacing w:after="0"/>
        <w:jc w:val="right"/>
        <w:rPr>
          <w:rFonts w:ascii="Times New Roman" w:eastAsia="SimSun" w:hAnsi="Times New Roman" w:cs="Times New Roman"/>
          <w:b/>
          <w:caps/>
          <w:noProof/>
          <w:spacing w:val="10"/>
          <w:sz w:val="24"/>
          <w:szCs w:val="24"/>
          <w:lang w:val="sr-Cyrl-CS"/>
        </w:rPr>
      </w:pPr>
      <w:bookmarkStart w:id="7" w:name="_Ref232064901"/>
      <w:bookmarkStart w:id="8" w:name="_Ref232065317"/>
      <w:bookmarkStart w:id="9" w:name="_Ref232065385"/>
      <w:bookmarkStart w:id="10" w:name="_Ref232065583"/>
      <w:bookmarkStart w:id="11" w:name="_Ref232065823"/>
      <w:bookmarkStart w:id="12" w:name="_Ref232065855"/>
      <w:bookmarkStart w:id="13" w:name="_Toc232693021"/>
      <w:bookmarkEnd w:id="5"/>
      <w:bookmarkEnd w:id="6"/>
      <w:r>
        <w:rPr>
          <w:rFonts w:ascii="Times New Roman" w:eastAsia="SimSun" w:hAnsi="Times New Roman" w:cs="Times New Roman"/>
          <w:b/>
          <w:caps/>
          <w:noProof/>
          <w:spacing w:val="10"/>
          <w:sz w:val="24"/>
          <w:szCs w:val="24"/>
          <w:lang w:val="sr-Cyrl-CS"/>
        </w:rPr>
        <w:lastRenderedPageBreak/>
        <w:t>ПРИЛОГ 1.</w:t>
      </w:r>
    </w:p>
    <w:p>
      <w:pPr>
        <w:spacing w:after="0"/>
        <w:jc w:val="both"/>
        <w:rPr>
          <w:rFonts w:ascii="Times New Roman" w:eastAsia="SimSun" w:hAnsi="Times New Roman" w:cs="Times New Roman"/>
          <w:caps/>
          <w:noProof/>
          <w:color w:val="0673A5"/>
          <w:spacing w:val="10"/>
          <w:sz w:val="24"/>
          <w:szCs w:val="24"/>
          <w:lang w:val="sr-Cyrl-CS"/>
        </w:rPr>
      </w:pPr>
      <w:r>
        <w:rPr>
          <w:rFonts w:ascii="Times New Roman" w:eastAsia="SimSun" w:hAnsi="Times New Roman" w:cs="Times New Roman"/>
          <w:caps/>
          <w:noProof/>
          <w:color w:val="0673A5"/>
          <w:spacing w:val="10"/>
          <w:sz w:val="24"/>
          <w:szCs w:val="24"/>
          <w:lang w:val="sr-Cyrl-CS"/>
        </w:rPr>
        <w:t xml:space="preserve">ЦЕНТРАЛНА БАНКА БОСНЕ И ХЕРЦЕГОВИНЕ                                                 </w:t>
      </w:r>
    </w:p>
    <w:p>
      <w:pPr>
        <w:pBdr>
          <w:top w:val="single" w:sz="24" w:space="0" w:color="0673A5"/>
          <w:left w:val="single" w:sz="24" w:space="0" w:color="0673A5"/>
          <w:bottom w:val="single" w:sz="24" w:space="0" w:color="0673A5"/>
          <w:right w:val="single" w:sz="24" w:space="0" w:color="0673A5"/>
        </w:pBdr>
        <w:shd w:val="clear" w:color="auto" w:fill="0673A5"/>
        <w:spacing w:after="0"/>
        <w:outlineLvl w:val="0"/>
        <w:rPr>
          <w:rFonts w:ascii="Times New Roman" w:eastAsia="SimSun" w:hAnsi="Times New Roman" w:cs="Times New Roman"/>
          <w:b/>
          <w:caps/>
          <w:noProof/>
          <w:color w:val="FFFFFF"/>
          <w:spacing w:val="10"/>
          <w:sz w:val="24"/>
          <w:szCs w:val="24"/>
          <w:lang w:val="sr-Cyrl-CS"/>
        </w:rPr>
      </w:pPr>
      <w:r>
        <w:rPr>
          <w:rFonts w:ascii="Times New Roman" w:eastAsia="SimSun" w:hAnsi="Times New Roman" w:cs="Times New Roman"/>
          <w:caps/>
          <w:noProof/>
          <w:color w:val="FFFFFF"/>
          <w:spacing w:val="15"/>
          <w:sz w:val="24"/>
          <w:szCs w:val="24"/>
          <w:lang w:val="sr-Cyrl-CS"/>
        </w:rPr>
        <w:t xml:space="preserve">ОБРАЗАЦ: </w:t>
      </w:r>
      <w:r>
        <w:rPr>
          <w:rFonts w:ascii="Times New Roman" w:eastAsia="SimSun" w:hAnsi="Times New Roman" w:cs="Times New Roman"/>
          <w:b/>
          <w:caps/>
          <w:noProof/>
          <w:color w:val="FFFFFF"/>
          <w:spacing w:val="10"/>
          <w:sz w:val="24"/>
          <w:szCs w:val="24"/>
          <w:lang w:val="sr-Cyrl-CS"/>
        </w:rPr>
        <w:t>ИЗЈАВА О ПРИХВАТАЊУ ПРАВИЛА РАДА</w:t>
      </w:r>
    </w:p>
    <w:p>
      <w:pPr>
        <w:pBdr>
          <w:top w:val="single" w:sz="24" w:space="0" w:color="0673A5"/>
          <w:left w:val="single" w:sz="24" w:space="0" w:color="0673A5"/>
          <w:bottom w:val="single" w:sz="24" w:space="0" w:color="0673A5"/>
          <w:right w:val="single" w:sz="24" w:space="0" w:color="0673A5"/>
        </w:pBdr>
        <w:shd w:val="clear" w:color="auto" w:fill="0673A5"/>
        <w:spacing w:after="0"/>
        <w:outlineLvl w:val="0"/>
        <w:rPr>
          <w:rFonts w:ascii="Times New Roman" w:eastAsia="SimSun" w:hAnsi="Times New Roman" w:cs="Times New Roman"/>
          <w:b/>
          <w:caps/>
          <w:noProof/>
          <w:color w:val="FFFFFF"/>
          <w:spacing w:val="10"/>
          <w:sz w:val="24"/>
          <w:szCs w:val="24"/>
          <w:lang w:val="sr-Cyrl-CS"/>
        </w:rPr>
      </w:pPr>
      <w:r>
        <w:rPr>
          <w:rFonts w:ascii="Times New Roman" w:eastAsia="SimSun" w:hAnsi="Times New Roman" w:cs="Times New Roman"/>
          <w:b/>
          <w:caps/>
          <w:noProof/>
          <w:color w:val="FFFFFF"/>
          <w:spacing w:val="10"/>
          <w:sz w:val="24"/>
          <w:szCs w:val="24"/>
          <w:lang w:val="sr-Cyrl-CS"/>
        </w:rPr>
        <w:t xml:space="preserve">                    ИПС БИХ</w:t>
      </w:r>
    </w:p>
    <w:p>
      <w:pPr>
        <w:spacing w:after="0"/>
        <w:contextualSpacing/>
        <w:jc w:val="both"/>
        <w:rPr>
          <w:rFonts w:ascii="Times New Roman" w:eastAsia="SimSun" w:hAnsi="Times New Roman" w:cs="Times New Roman"/>
          <w:noProof/>
          <w:sz w:val="24"/>
          <w:szCs w:val="24"/>
          <w:lang w:val="sr-Cyrl-CS"/>
        </w:rPr>
      </w:pPr>
    </w:p>
    <w:p>
      <w:pPr>
        <w:spacing w:after="0"/>
        <w:contextualSpacing/>
        <w:jc w:val="both"/>
        <w:rPr>
          <w:rFonts w:ascii="Times New Roman" w:eastAsia="SimSun" w:hAnsi="Times New Roman" w:cs="Times New Roman"/>
          <w:noProof/>
          <w:sz w:val="24"/>
          <w:szCs w:val="24"/>
          <w:lang w:val="sr-Cyrl-CS"/>
        </w:rPr>
      </w:pPr>
    </w:p>
    <w:p>
      <w:pPr>
        <w:spacing w:after="0"/>
        <w:jc w:val="both"/>
        <w:rPr>
          <w:rFonts w:ascii="Times New Roman" w:eastAsia="SimSun" w:hAnsi="Times New Roman" w:cs="Times New Roman"/>
          <w:noProof/>
          <w:sz w:val="24"/>
          <w:szCs w:val="24"/>
          <w:lang w:val="sr-Cyrl-CS"/>
        </w:rPr>
      </w:pPr>
    </w:p>
    <w:p>
      <w:pP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b/>
          <w:noProof/>
          <w:sz w:val="24"/>
          <w:szCs w:val="24"/>
          <w:lang w:val="sr-Cyrl-CS"/>
        </w:rPr>
        <w:t>ПОДАЦИ О УЧЕСНИКУ</w:t>
      </w:r>
    </w:p>
    <w:tbl>
      <w:tblPr>
        <w:tblStyle w:val="TableGrid3"/>
        <w:tblW w:w="9214" w:type="dxa"/>
        <w:tblInd w:w="-5" w:type="dxa"/>
        <w:tblLook w:val="04A0" w:firstRow="1" w:lastRow="0" w:firstColumn="1" w:lastColumn="0" w:noHBand="0" w:noVBand="1"/>
      </w:tblPr>
      <w:tblGrid>
        <w:gridCol w:w="4592"/>
        <w:gridCol w:w="4622"/>
      </w:tblGrid>
      <w:tr>
        <w:trPr>
          <w:trHeight w:val="247"/>
        </w:trPr>
        <w:tc>
          <w:tcPr>
            <w:tcW w:w="4592" w:type="dxa"/>
            <w:tcBorders>
              <w:right w:val="single" w:sz="4" w:space="0" w:color="auto"/>
            </w:tcBorders>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Назив учесника (из судског регистра)</w:t>
            </w:r>
          </w:p>
        </w:tc>
        <w:tc>
          <w:tcPr>
            <w:tcW w:w="4622" w:type="dxa"/>
            <w:tcBorders>
              <w:left w:val="single" w:sz="4" w:space="0" w:color="auto"/>
            </w:tcBorders>
          </w:tcPr>
          <w:p>
            <w:pPr>
              <w:jc w:val="both"/>
              <w:rPr>
                <w:rFonts w:ascii="Times New Roman" w:hAnsi="Times New Roman" w:cs="Times New Roman"/>
                <w:noProof/>
                <w:sz w:val="24"/>
                <w:szCs w:val="24"/>
                <w:lang w:val="sr-Cyrl-CS"/>
              </w:rPr>
            </w:pPr>
          </w:p>
        </w:tc>
      </w:tr>
      <w:tr>
        <w:trPr>
          <w:trHeight w:val="247"/>
        </w:trPr>
        <w:tc>
          <w:tcPr>
            <w:tcW w:w="4592" w:type="dxa"/>
            <w:tcBorders>
              <w:right w:val="single" w:sz="4" w:space="0" w:color="auto"/>
            </w:tcBorders>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Latn-CS"/>
              </w:rPr>
              <w:t xml:space="preserve">SWIFT BIC </w:t>
            </w:r>
            <w:r>
              <w:rPr>
                <w:rFonts w:ascii="Times New Roman" w:hAnsi="Times New Roman" w:cs="Times New Roman"/>
                <w:noProof/>
                <w:sz w:val="24"/>
                <w:szCs w:val="24"/>
                <w:lang w:val="sr-Cyrl-CS"/>
              </w:rPr>
              <w:t>за ИПС</w:t>
            </w:r>
          </w:p>
        </w:tc>
        <w:tc>
          <w:tcPr>
            <w:tcW w:w="4622" w:type="dxa"/>
            <w:tcBorders>
              <w:left w:val="single" w:sz="4" w:space="0" w:color="auto"/>
            </w:tcBorders>
          </w:tcPr>
          <w:p>
            <w:pPr>
              <w:jc w:val="both"/>
              <w:rPr>
                <w:rFonts w:ascii="Times New Roman" w:hAnsi="Times New Roman" w:cs="Times New Roman"/>
                <w:noProof/>
                <w:sz w:val="24"/>
                <w:szCs w:val="24"/>
                <w:lang w:val="sr-Cyrl-CS"/>
              </w:rPr>
            </w:pPr>
          </w:p>
        </w:tc>
      </w:tr>
      <w:tr>
        <w:trPr>
          <w:trHeight w:val="192"/>
        </w:trPr>
        <w:tc>
          <w:tcPr>
            <w:tcW w:w="4592" w:type="dxa"/>
            <w:tcBorders>
              <w:right w:val="single" w:sz="4" w:space="0" w:color="auto"/>
            </w:tcBorders>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Адреса</w:t>
            </w:r>
          </w:p>
        </w:tc>
        <w:tc>
          <w:tcPr>
            <w:tcW w:w="4622" w:type="dxa"/>
            <w:tcBorders>
              <w:left w:val="single" w:sz="4" w:space="0" w:color="auto"/>
            </w:tcBorders>
          </w:tcPr>
          <w:p>
            <w:pPr>
              <w:jc w:val="both"/>
              <w:rPr>
                <w:rFonts w:ascii="Times New Roman" w:hAnsi="Times New Roman" w:cs="Times New Roman"/>
                <w:noProof/>
                <w:sz w:val="24"/>
                <w:szCs w:val="24"/>
                <w:lang w:val="sr-Cyrl-CS"/>
              </w:rPr>
            </w:pPr>
          </w:p>
        </w:tc>
      </w:tr>
      <w:tr>
        <w:trPr>
          <w:trHeight w:val="109"/>
        </w:trPr>
        <w:tc>
          <w:tcPr>
            <w:tcW w:w="4592" w:type="dxa"/>
            <w:tcBorders>
              <w:right w:val="single" w:sz="4" w:space="0" w:color="auto"/>
            </w:tcBorders>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Поштански број</w:t>
            </w:r>
          </w:p>
        </w:tc>
        <w:tc>
          <w:tcPr>
            <w:tcW w:w="4622" w:type="dxa"/>
            <w:tcBorders>
              <w:left w:val="single" w:sz="4" w:space="0" w:color="auto"/>
            </w:tcBorders>
          </w:tcPr>
          <w:p>
            <w:pPr>
              <w:jc w:val="both"/>
              <w:rPr>
                <w:rFonts w:ascii="Times New Roman" w:hAnsi="Times New Roman" w:cs="Times New Roman"/>
                <w:noProof/>
                <w:sz w:val="24"/>
                <w:szCs w:val="24"/>
                <w:lang w:val="sr-Cyrl-CS"/>
              </w:rPr>
            </w:pPr>
          </w:p>
        </w:tc>
      </w:tr>
      <w:tr>
        <w:trPr>
          <w:trHeight w:val="228"/>
        </w:trPr>
        <w:tc>
          <w:tcPr>
            <w:tcW w:w="4592" w:type="dxa"/>
            <w:tcBorders>
              <w:right w:val="single" w:sz="4" w:space="0" w:color="auto"/>
            </w:tcBorders>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Мјесто</w:t>
            </w:r>
          </w:p>
        </w:tc>
        <w:tc>
          <w:tcPr>
            <w:tcW w:w="4622" w:type="dxa"/>
            <w:tcBorders>
              <w:left w:val="single" w:sz="4" w:space="0" w:color="auto"/>
            </w:tcBorders>
          </w:tcPr>
          <w:p>
            <w:pPr>
              <w:jc w:val="both"/>
              <w:rPr>
                <w:rFonts w:ascii="Times New Roman" w:hAnsi="Times New Roman" w:cs="Times New Roman"/>
                <w:noProof/>
                <w:sz w:val="24"/>
                <w:szCs w:val="24"/>
                <w:lang w:val="sr-Cyrl-CS"/>
              </w:rPr>
            </w:pPr>
          </w:p>
        </w:tc>
      </w:tr>
      <w:tr>
        <w:trPr>
          <w:trHeight w:val="146"/>
        </w:trPr>
        <w:tc>
          <w:tcPr>
            <w:tcW w:w="4592" w:type="dxa"/>
            <w:tcBorders>
              <w:right w:val="single" w:sz="4" w:space="0" w:color="auto"/>
            </w:tcBorders>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 xml:space="preserve">Телефон </w:t>
            </w:r>
          </w:p>
        </w:tc>
        <w:tc>
          <w:tcPr>
            <w:tcW w:w="4622" w:type="dxa"/>
            <w:tcBorders>
              <w:left w:val="single" w:sz="4" w:space="0" w:color="auto"/>
            </w:tcBorders>
          </w:tcPr>
          <w:p>
            <w:pPr>
              <w:jc w:val="both"/>
              <w:rPr>
                <w:rFonts w:ascii="Times New Roman" w:hAnsi="Times New Roman" w:cs="Times New Roman"/>
                <w:noProof/>
                <w:sz w:val="24"/>
                <w:szCs w:val="24"/>
                <w:lang w:val="sr-Cyrl-CS"/>
              </w:rPr>
            </w:pPr>
          </w:p>
        </w:tc>
      </w:tr>
    </w:tbl>
    <w:p>
      <w:pPr>
        <w:spacing w:after="0"/>
        <w:jc w:val="both"/>
        <w:rPr>
          <w:rFonts w:ascii="Times New Roman" w:eastAsia="SimSun" w:hAnsi="Times New Roman" w:cs="Times New Roman"/>
          <w:b/>
          <w:noProof/>
          <w:sz w:val="24"/>
          <w:szCs w:val="24"/>
          <w:lang w:val="sr-Cyrl-CS"/>
        </w:rPr>
      </w:pPr>
    </w:p>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Изјављујем да у цијелости прихватам оперативна правила за ИПС БиХ прописана Одлуком о оперативним правилима за ИПС БиХ (''Службени гласник БиХ”, број: ________________________)</w:t>
      </w:r>
    </w:p>
    <w:p>
      <w:pPr>
        <w:jc w:val="both"/>
        <w:rPr>
          <w:rFonts w:ascii="Times New Roman" w:eastAsia="SimSun" w:hAnsi="Times New Roman" w:cs="Times New Roman"/>
          <w:noProof/>
          <w:sz w:val="24"/>
          <w:szCs w:val="24"/>
          <w:lang w:val="sr-Cyrl-CS"/>
        </w:rPr>
      </w:pPr>
    </w:p>
    <w:p>
      <w:pPr>
        <w:jc w:val="both"/>
        <w:rPr>
          <w:rFonts w:ascii="Times New Roman" w:eastAsia="SimSun" w:hAnsi="Times New Roman" w:cs="Times New Roman"/>
          <w:noProof/>
          <w:sz w:val="24"/>
          <w:szCs w:val="24"/>
          <w:lang w:val="sr-Cyrl-CS"/>
        </w:rPr>
      </w:pPr>
    </w:p>
    <w:p>
      <w:pP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Мјесто и датум</w:t>
      </w:r>
      <w:r>
        <w:rPr>
          <w:rFonts w:ascii="Times New Roman" w:eastAsia="SimSun" w:hAnsi="Times New Roman" w:cs="Times New Roman"/>
          <w:noProof/>
          <w:sz w:val="24"/>
          <w:szCs w:val="24"/>
          <w:lang w:val="sr-Cyrl-CS"/>
        </w:rPr>
        <w:tab/>
        <w:t xml:space="preserve">                                                           Печат и потпис овлаштеног лица</w:t>
      </w:r>
    </w:p>
    <w:p>
      <w:pP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br/>
        <w:t xml:space="preserve">_____________________                                                    ___________________________                     </w:t>
      </w:r>
    </w:p>
    <w:p>
      <w:pPr>
        <w:pBdr>
          <w:bottom w:val="single" w:sz="12" w:space="4" w:color="auto"/>
        </w:pBd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ab/>
      </w:r>
    </w:p>
    <w:p>
      <w:pPr>
        <w:pBdr>
          <w:bottom w:val="single" w:sz="12" w:space="4" w:color="auto"/>
        </w:pBd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t xml:space="preserve">                                                         М.П.</w:t>
      </w: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p>
    <w:p>
      <w:pPr>
        <w:pBdr>
          <w:bottom w:val="single" w:sz="12" w:space="4" w:color="auto"/>
        </w:pBd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Напомена: попуњену изјаву послати поштом на адресу Маршала Тита 25, 71000 Сарајево.</w:t>
      </w:r>
    </w:p>
    <w:p>
      <w:pPr>
        <w:spacing w:after="0"/>
        <w:jc w:val="both"/>
        <w:rPr>
          <w:rFonts w:ascii="Times New Roman" w:eastAsia="SimSun" w:hAnsi="Times New Roman" w:cs="Times New Roman"/>
          <w:caps/>
          <w:noProof/>
          <w:color w:val="0673A5"/>
          <w:spacing w:val="10"/>
          <w:sz w:val="24"/>
          <w:szCs w:val="24"/>
          <w:lang w:val="sr-Cyrl-CS"/>
        </w:rPr>
      </w:pPr>
    </w:p>
    <w:p>
      <w:pPr>
        <w:spacing w:after="0"/>
        <w:jc w:val="both"/>
        <w:rPr>
          <w:rFonts w:ascii="Times New Roman" w:eastAsia="SimSun" w:hAnsi="Times New Roman" w:cs="Times New Roman"/>
          <w:caps/>
          <w:noProof/>
          <w:color w:val="0673A5"/>
          <w:spacing w:val="10"/>
          <w:sz w:val="24"/>
          <w:szCs w:val="24"/>
          <w:lang w:val="sr-Cyrl-CS"/>
        </w:rPr>
      </w:pPr>
    </w:p>
    <w:p>
      <w:pPr>
        <w:spacing w:after="0"/>
        <w:jc w:val="right"/>
        <w:rPr>
          <w:rFonts w:ascii="Times New Roman" w:eastAsia="SimSun" w:hAnsi="Times New Roman" w:cs="Times New Roman"/>
          <w:b/>
          <w:caps/>
          <w:noProof/>
          <w:color w:val="0673A5"/>
          <w:spacing w:val="10"/>
          <w:sz w:val="24"/>
          <w:szCs w:val="24"/>
          <w:lang w:val="sr-Cyrl-CS"/>
        </w:rPr>
      </w:pPr>
      <w:r>
        <w:rPr>
          <w:rFonts w:ascii="Times New Roman" w:eastAsia="SimSun" w:hAnsi="Times New Roman" w:cs="Times New Roman"/>
          <w:caps/>
          <w:noProof/>
          <w:color w:val="0673A5"/>
          <w:spacing w:val="10"/>
          <w:sz w:val="24"/>
          <w:szCs w:val="24"/>
          <w:lang w:val="sr-Cyrl-CS"/>
        </w:rPr>
        <w:tab/>
      </w:r>
      <w:r>
        <w:rPr>
          <w:rFonts w:ascii="Times New Roman" w:eastAsia="SimSun" w:hAnsi="Times New Roman" w:cs="Times New Roman"/>
          <w:b/>
          <w:caps/>
          <w:noProof/>
          <w:spacing w:val="10"/>
          <w:sz w:val="24"/>
          <w:szCs w:val="24"/>
          <w:lang w:val="sr-Cyrl-CS"/>
        </w:rPr>
        <w:t>ПРИЛОГ 2.</w:t>
      </w:r>
    </w:p>
    <w:p>
      <w:pPr>
        <w:spacing w:after="0"/>
        <w:jc w:val="both"/>
        <w:rPr>
          <w:rFonts w:ascii="Times New Roman" w:eastAsia="SimSun" w:hAnsi="Times New Roman" w:cs="Times New Roman"/>
          <w:caps/>
          <w:noProof/>
          <w:color w:val="0673A5"/>
          <w:spacing w:val="10"/>
          <w:sz w:val="24"/>
          <w:szCs w:val="24"/>
          <w:lang w:val="sr-Cyrl-CS"/>
        </w:rPr>
      </w:pPr>
      <w:r>
        <w:rPr>
          <w:rFonts w:ascii="Times New Roman" w:eastAsia="SimSun" w:hAnsi="Times New Roman" w:cs="Times New Roman"/>
          <w:caps/>
          <w:noProof/>
          <w:color w:val="0673A5"/>
          <w:spacing w:val="10"/>
          <w:sz w:val="24"/>
          <w:szCs w:val="24"/>
          <w:lang w:val="sr-Cyrl-CS"/>
        </w:rPr>
        <w:t xml:space="preserve">ЦЕНТРАЛНА БАНКА БОСНЕ И ХЕРЦЕГОВИНЕ                                                 </w:t>
      </w:r>
    </w:p>
    <w:p>
      <w:pPr>
        <w:pBdr>
          <w:top w:val="single" w:sz="24" w:space="0" w:color="0673A5"/>
          <w:left w:val="single" w:sz="24" w:space="0" w:color="0673A5"/>
          <w:bottom w:val="single" w:sz="24" w:space="0" w:color="0673A5"/>
          <w:right w:val="single" w:sz="24" w:space="0" w:color="0673A5"/>
        </w:pBdr>
        <w:shd w:val="clear" w:color="auto" w:fill="2E74B5" w:themeFill="accent1" w:themeFillShade="BF"/>
        <w:spacing w:after="0"/>
        <w:outlineLvl w:val="0"/>
        <w:rPr>
          <w:rFonts w:ascii="Times New Roman" w:eastAsia="SimSun" w:hAnsi="Times New Roman" w:cs="Times New Roman"/>
          <w:b/>
          <w:caps/>
          <w:noProof/>
          <w:color w:val="FFFFFF"/>
          <w:spacing w:val="10"/>
          <w:sz w:val="24"/>
          <w:szCs w:val="24"/>
          <w:lang w:val="sr-Cyrl-CS"/>
        </w:rPr>
      </w:pPr>
      <w:r>
        <w:rPr>
          <w:rFonts w:ascii="Times New Roman" w:eastAsia="SimSun" w:hAnsi="Times New Roman" w:cs="Times New Roman"/>
          <w:caps/>
          <w:noProof/>
          <w:color w:val="FFFFFF"/>
          <w:spacing w:val="15"/>
          <w:sz w:val="24"/>
          <w:szCs w:val="24"/>
          <w:lang w:val="sr-Cyrl-CS"/>
        </w:rPr>
        <w:t xml:space="preserve">ОБРАЗАЦ: </w:t>
      </w:r>
      <w:r>
        <w:rPr>
          <w:rFonts w:ascii="Times New Roman" w:eastAsia="SimSun" w:hAnsi="Times New Roman" w:cs="Times New Roman"/>
          <w:b/>
          <w:caps/>
          <w:noProof/>
          <w:color w:val="FFFFFF"/>
          <w:spacing w:val="10"/>
          <w:sz w:val="24"/>
          <w:szCs w:val="24"/>
          <w:lang w:val="sr-Cyrl-CS"/>
        </w:rPr>
        <w:t>ЗАХТЈЕВ ЗА АКТИВАЦИЈУ/ДЕАКТИВАЦИЈУ ОВЛАШТЕНОГ ЛИЦА УЧЕСНИКА ИПС БИХ</w:t>
      </w:r>
    </w:p>
    <w:p>
      <w:pPr>
        <w:spacing w:after="0"/>
        <w:jc w:val="both"/>
        <w:rPr>
          <w:rFonts w:ascii="Times New Roman" w:eastAsia="SimSun" w:hAnsi="Times New Roman" w:cs="Times New Roman"/>
          <w:noProof/>
          <w:sz w:val="24"/>
          <w:szCs w:val="24"/>
          <w:lang w:val="sr-Cyrl-CS"/>
        </w:rPr>
      </w:pPr>
    </w:p>
    <w:p>
      <w:pP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b/>
          <w:noProof/>
          <w:sz w:val="24"/>
          <w:szCs w:val="24"/>
          <w:lang w:val="sr-Cyrl-CS"/>
        </w:rPr>
        <w:t>ПОДАЦИ О УЧЕСНИКУ</w:t>
      </w:r>
    </w:p>
    <w:tbl>
      <w:tblPr>
        <w:tblStyle w:val="TableGrid3"/>
        <w:tblW w:w="9923" w:type="dxa"/>
        <w:tblInd w:w="-5" w:type="dxa"/>
        <w:tblLook w:val="04A0" w:firstRow="1" w:lastRow="0" w:firstColumn="1" w:lastColumn="0" w:noHBand="0" w:noVBand="1"/>
      </w:tblPr>
      <w:tblGrid>
        <w:gridCol w:w="4592"/>
        <w:gridCol w:w="5331"/>
      </w:tblGrid>
      <w:tr>
        <w:trPr>
          <w:trHeight w:val="247"/>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Назив учесника (из судског регистра)</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247"/>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Latn-CS"/>
              </w:rPr>
              <w:t>SWIFT BIC</w:t>
            </w:r>
            <w:r>
              <w:rPr>
                <w:rFonts w:ascii="Times New Roman" w:hAnsi="Times New Roman" w:cs="Times New Roman"/>
                <w:noProof/>
                <w:sz w:val="24"/>
                <w:szCs w:val="24"/>
                <w:lang w:val="sr-Cyrl-CS"/>
              </w:rPr>
              <w:t xml:space="preserve"> за ИПС</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192"/>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Адреса</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109"/>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Поштански број</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228"/>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Мјесто</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146"/>
        </w:trPr>
        <w:tc>
          <w:tcPr>
            <w:tcW w:w="4592"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 xml:space="preserve">Телефон </w:t>
            </w:r>
          </w:p>
        </w:tc>
        <w:tc>
          <w:tcPr>
            <w:tcW w:w="5331"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bl>
    <w:p>
      <w:pPr>
        <w:ind w:left="720"/>
        <w:contextualSpacing/>
        <w:jc w:val="both"/>
        <w:rPr>
          <w:rFonts w:ascii="Times New Roman" w:eastAsia="SimSun" w:hAnsi="Times New Roman" w:cs="Times New Roman"/>
          <w:noProof/>
          <w:sz w:val="24"/>
          <w:szCs w:val="24"/>
          <w:lang w:val="sr-Cyrl-CS"/>
        </w:rPr>
      </w:pPr>
    </w:p>
    <w:p>
      <w:pPr>
        <w:spacing w:after="0"/>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ПОДАЦИ О ОВЛАШТЕНОМ ЛИЦУ ЗА РАД У ИПС-у</w:t>
      </w:r>
    </w:p>
    <w:tbl>
      <w:tblPr>
        <w:tblStyle w:val="TableGrid3"/>
        <w:tblW w:w="9923" w:type="dxa"/>
        <w:tblInd w:w="-5" w:type="dxa"/>
        <w:tblLook w:val="04A0" w:firstRow="1" w:lastRow="0" w:firstColumn="1" w:lastColumn="0" w:noHBand="0" w:noVBand="1"/>
      </w:tblPr>
      <w:tblGrid>
        <w:gridCol w:w="4536"/>
        <w:gridCol w:w="5387"/>
      </w:tblGrid>
      <w:tr>
        <w:trPr>
          <w:trHeight w:val="229"/>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Име и презиме</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283"/>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Е-мејл адреса учесника</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r>
        <w:trPr>
          <w:trHeight w:val="283"/>
        </w:trPr>
        <w:tc>
          <w:tcPr>
            <w:tcW w:w="4536" w:type="dxa"/>
            <w:tcBorders>
              <w:top w:val="single" w:sz="4" w:space="0" w:color="2C2C2C"/>
              <w:left w:val="single" w:sz="4" w:space="0" w:color="2C2C2C"/>
              <w:bottom w:val="single" w:sz="4" w:space="0" w:color="2C2C2C"/>
              <w:right w:val="single" w:sz="4" w:space="0" w:color="auto"/>
            </w:tcBorders>
            <w:hideMark/>
          </w:tcPr>
          <w:p>
            <w:pPr>
              <w:jc w:val="both"/>
              <w:rPr>
                <w:rFonts w:ascii="Times New Roman" w:hAnsi="Times New Roman" w:cs="Times New Roman"/>
                <w:noProof/>
                <w:sz w:val="24"/>
                <w:szCs w:val="24"/>
                <w:lang w:val="sr-Cyrl-CS"/>
              </w:rPr>
            </w:pPr>
            <w:r>
              <w:rPr>
                <w:rFonts w:ascii="Times New Roman" w:hAnsi="Times New Roman" w:cs="Times New Roman"/>
                <w:noProof/>
                <w:sz w:val="24"/>
                <w:szCs w:val="24"/>
                <w:lang w:val="sr-Cyrl-CS"/>
              </w:rPr>
              <w:t>Контакт-телефон</w:t>
            </w:r>
          </w:p>
        </w:tc>
        <w:tc>
          <w:tcPr>
            <w:tcW w:w="5387" w:type="dxa"/>
            <w:tcBorders>
              <w:top w:val="single" w:sz="4" w:space="0" w:color="2C2C2C"/>
              <w:left w:val="single" w:sz="4" w:space="0" w:color="auto"/>
              <w:bottom w:val="single" w:sz="4" w:space="0" w:color="2C2C2C"/>
              <w:right w:val="single" w:sz="4" w:space="0" w:color="2C2C2C"/>
            </w:tcBorders>
          </w:tcPr>
          <w:p>
            <w:pPr>
              <w:jc w:val="both"/>
              <w:rPr>
                <w:rFonts w:ascii="Times New Roman" w:hAnsi="Times New Roman" w:cs="Times New Roman"/>
                <w:noProof/>
                <w:sz w:val="24"/>
                <w:szCs w:val="24"/>
                <w:lang w:val="sr-Cyrl-CS"/>
              </w:rPr>
            </w:pPr>
          </w:p>
        </w:tc>
      </w:tr>
    </w:tbl>
    <w:p>
      <w:pPr>
        <w:spacing w:after="0"/>
        <w:jc w:val="both"/>
        <w:rPr>
          <w:rFonts w:ascii="Times New Roman" w:eastAsia="SimSun" w:hAnsi="Times New Roman" w:cs="Times New Roman"/>
          <w:b/>
          <w:noProof/>
          <w:sz w:val="20"/>
          <w:szCs w:val="24"/>
          <w:lang w:val="sr-Cyrl-CS"/>
        </w:rPr>
      </w:pPr>
    </w:p>
    <w:p>
      <w:pPr>
        <w:spacing w:after="0"/>
        <w:jc w:val="both"/>
        <w:rPr>
          <w:rFonts w:ascii="Times New Roman" w:eastAsia="SimSun" w:hAnsi="Times New Roman" w:cs="Times New Roman"/>
          <w:b/>
          <w:noProof/>
          <w:sz w:val="20"/>
          <w:szCs w:val="24"/>
          <w:lang w:val="sr-Cyrl-CS"/>
        </w:rPr>
      </w:pPr>
      <w:r>
        <w:rPr>
          <w:rFonts w:ascii="Times New Roman" w:eastAsia="SimSun" w:hAnsi="Times New Roman" w:cs="Times New Roman"/>
          <w:b/>
          <w:noProof/>
          <w:sz w:val="20"/>
          <w:szCs w:val="24"/>
          <w:lang w:val="sr-Cyrl-CS"/>
        </w:rPr>
        <w:t>Означити знаком „X“</w:t>
      </w:r>
    </w:p>
    <w:tbl>
      <w:tblPr>
        <w:tblStyle w:val="TableGrid"/>
        <w:tblW w:w="9918" w:type="dxa"/>
        <w:tblLook w:val="04A0" w:firstRow="1" w:lastRow="0" w:firstColumn="1" w:lastColumn="0" w:noHBand="0" w:noVBand="1"/>
      </w:tblPr>
      <w:tblGrid>
        <w:gridCol w:w="562"/>
        <w:gridCol w:w="567"/>
        <w:gridCol w:w="3402"/>
        <w:gridCol w:w="567"/>
        <w:gridCol w:w="4820"/>
      </w:tblGrid>
      <w:tr>
        <w:tc>
          <w:tcPr>
            <w:tcW w:w="4531" w:type="dxa"/>
            <w:gridSpan w:val="3"/>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Активација (ново овлаштено лице или измијењена овлаштења постојећег овлаштеног лица)</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Деактивација овлаштеног лица (свих овлаштења)</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969"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 xml:space="preserve">Апликација </w:t>
            </w:r>
            <w:r>
              <w:rPr>
                <w:rFonts w:ascii="Times New Roman" w:eastAsia="SimSun" w:hAnsi="Times New Roman" w:cs="Times New Roman"/>
                <w:b/>
                <w:noProof/>
                <w:sz w:val="24"/>
                <w:szCs w:val="24"/>
                <w:lang w:val="sr-Latn-CS"/>
              </w:rPr>
              <w:t>RDM</w:t>
            </w: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4820"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 xml:space="preserve">Апликација </w:t>
            </w:r>
            <w:r>
              <w:rPr>
                <w:rFonts w:ascii="Times New Roman" w:eastAsia="SimSun" w:hAnsi="Times New Roman" w:cs="Times New Roman"/>
                <w:b/>
                <w:noProof/>
                <w:sz w:val="24"/>
                <w:szCs w:val="24"/>
                <w:lang w:val="sr-Latn-CS"/>
              </w:rPr>
              <w:t>RDM</w:t>
            </w:r>
          </w:p>
        </w:tc>
      </w:tr>
      <w:tr>
        <w:tc>
          <w:tcPr>
            <w:tcW w:w="562" w:type="dxa"/>
            <w:vMerge w:val="restart"/>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969"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 xml:space="preserve">Апликација </w:t>
            </w:r>
            <w:r>
              <w:rPr>
                <w:rFonts w:ascii="Times New Roman" w:eastAsia="SimSun" w:hAnsi="Times New Roman" w:cs="Times New Roman"/>
                <w:b/>
                <w:noProof/>
                <w:sz w:val="24"/>
                <w:szCs w:val="24"/>
                <w:lang w:val="sr-Latn-CS"/>
              </w:rPr>
              <w:t>TIPS</w:t>
            </w: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4820"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 xml:space="preserve">Апликација </w:t>
            </w:r>
            <w:r>
              <w:rPr>
                <w:rFonts w:ascii="Times New Roman" w:eastAsia="SimSun" w:hAnsi="Times New Roman" w:cs="Times New Roman"/>
                <w:b/>
                <w:noProof/>
                <w:sz w:val="24"/>
                <w:szCs w:val="24"/>
                <w:lang w:val="sr-Latn-CS"/>
              </w:rPr>
              <w:t>TIPS</w:t>
            </w:r>
          </w:p>
        </w:tc>
      </w:tr>
      <w:tr>
        <w:tc>
          <w:tcPr>
            <w:tcW w:w="0" w:type="auto"/>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noProof/>
                <w:sz w:val="24"/>
                <w:szCs w:val="24"/>
                <w:lang w:val="sr-Cyrl-CS"/>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Latn-CS"/>
              </w:rPr>
              <w:t>Instruct Liquidity Transfer</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Деактивација овлаштеног лица од датума:</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noProof/>
                <w:sz w:val="24"/>
                <w:szCs w:val="24"/>
                <w:lang w:val="sr-Latn-CS"/>
              </w:rPr>
            </w:pPr>
            <w:r>
              <w:rPr>
                <w:rFonts w:ascii="Times New Roman" w:eastAsia="SimSun" w:hAnsi="Times New Roman" w:cs="Times New Roman"/>
                <w:noProof/>
                <w:sz w:val="24"/>
                <w:szCs w:val="24"/>
                <w:lang w:val="sr-Latn-CS"/>
              </w:rPr>
              <w:t>Query All</w:t>
            </w:r>
          </w:p>
        </w:tc>
        <w:tc>
          <w:tcPr>
            <w:tcW w:w="5387" w:type="dxa"/>
            <w:gridSpan w:val="2"/>
            <w:vMerge w:val="restart"/>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Latn-CS"/>
              </w:rPr>
            </w:pPr>
            <w:r>
              <w:rPr>
                <w:rFonts w:ascii="Times New Roman" w:eastAsia="SimSun" w:hAnsi="Times New Roman" w:cs="Times New Roman"/>
                <w:b/>
                <w:noProof/>
                <w:sz w:val="24"/>
                <w:szCs w:val="24"/>
                <w:lang w:val="sr-Latn-CS"/>
              </w:rPr>
              <w:t xml:space="preserve">          _____________________ </w:t>
            </w:r>
            <w:r>
              <w:rPr>
                <w:rFonts w:ascii="Times New Roman" w:eastAsia="SimSun" w:hAnsi="Times New Roman" w:cs="Times New Roman"/>
                <w:b/>
                <w:noProof/>
                <w:sz w:val="24"/>
                <w:szCs w:val="24"/>
                <w:lang w:val="sr-Cyrl-CS"/>
              </w:rPr>
              <w:t>године</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Latn-CS"/>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Latn-CS"/>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noProof/>
                <w:sz w:val="24"/>
                <w:szCs w:val="24"/>
                <w:lang w:val="sr-Latn-CS"/>
              </w:rPr>
            </w:pPr>
            <w:r>
              <w:rPr>
                <w:rFonts w:ascii="Times New Roman" w:eastAsia="SimSun" w:hAnsi="Times New Roman" w:cs="Times New Roman"/>
                <w:noProof/>
                <w:sz w:val="24"/>
                <w:szCs w:val="24"/>
                <w:lang w:val="sr-Latn-CS"/>
              </w:rPr>
              <w:t>Modifying CMB Blocking Status</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noProof/>
                <w:sz w:val="24"/>
                <w:szCs w:val="24"/>
                <w:lang w:val="sr-Cyrl-CS"/>
              </w:rPr>
            </w:pP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Latn-CS"/>
              </w:rPr>
              <w:t>Adjust CMB Limit</w:t>
            </w:r>
          </w:p>
        </w:tc>
        <w:tc>
          <w:tcPr>
            <w:tcW w:w="5387" w:type="dxa"/>
            <w:gridSpan w:val="2"/>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Е-мејл адреса на коју желите да се достави информација о деактивацији овлаштеног лица:</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Latn-CS"/>
              </w:rPr>
              <w:t>Display Broadcast</w:t>
            </w:r>
          </w:p>
        </w:tc>
        <w:tc>
          <w:tcPr>
            <w:tcW w:w="5387" w:type="dxa"/>
            <w:gridSpan w:val="2"/>
            <w:vMerge w:val="restart"/>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b/>
                <w:noProof/>
                <w:sz w:val="24"/>
                <w:szCs w:val="24"/>
                <w:lang w:val="sr-Cyrl-CS"/>
              </w:rPr>
            </w:pPr>
            <w:r>
              <w:rPr>
                <w:rFonts w:ascii="Times New Roman" w:eastAsia="SimSun" w:hAnsi="Times New Roman" w:cs="Times New Roman"/>
                <w:b/>
                <w:noProof/>
                <w:sz w:val="24"/>
                <w:szCs w:val="24"/>
                <w:lang w:val="sr-Cyrl-CS"/>
              </w:rPr>
              <w:t xml:space="preserve">         _______________________@__________</w:t>
            </w:r>
          </w:p>
        </w:tc>
      </w:tr>
      <w:tr>
        <w:tc>
          <w:tcPr>
            <w:tcW w:w="562"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567" w:type="dxa"/>
            <w:tcBorders>
              <w:top w:val="single" w:sz="4" w:space="0" w:color="auto"/>
              <w:left w:val="single" w:sz="4" w:space="0" w:color="auto"/>
              <w:bottom w:val="single" w:sz="4" w:space="0" w:color="auto"/>
              <w:right w:val="single" w:sz="4" w:space="0" w:color="auto"/>
            </w:tcBorders>
          </w:tcPr>
          <w:p>
            <w:pPr>
              <w:jc w:val="both"/>
              <w:rPr>
                <w:rFonts w:ascii="Times New Roman" w:eastAsia="SimSun" w:hAnsi="Times New Roman" w:cs="Times New Roman"/>
                <w:b/>
                <w:noProof/>
                <w:sz w:val="24"/>
                <w:szCs w:val="24"/>
                <w:lang w:val="sr-Cyrl-CS"/>
              </w:rPr>
            </w:pPr>
          </w:p>
        </w:tc>
        <w:tc>
          <w:tcPr>
            <w:tcW w:w="3402" w:type="dxa"/>
            <w:tcBorders>
              <w:top w:val="single" w:sz="4" w:space="0" w:color="auto"/>
              <w:left w:val="single" w:sz="4" w:space="0" w:color="auto"/>
              <w:bottom w:val="single" w:sz="4" w:space="0" w:color="auto"/>
              <w:right w:val="single" w:sz="4" w:space="0" w:color="auto"/>
            </w:tcBorders>
            <w:hideMark/>
          </w:tcPr>
          <w:p>
            <w:pPr>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Latn-CS"/>
              </w:rPr>
              <w:t>New Broadcast</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pPr>
              <w:rPr>
                <w:rFonts w:ascii="Times New Roman" w:eastAsia="SimSun" w:hAnsi="Times New Roman" w:cs="Times New Roman"/>
                <w:b/>
                <w:noProof/>
                <w:sz w:val="24"/>
                <w:szCs w:val="24"/>
                <w:lang w:val="sr-Cyrl-CS"/>
              </w:rPr>
            </w:pPr>
          </w:p>
        </w:tc>
      </w:tr>
    </w:tbl>
    <w:p>
      <w:pPr>
        <w:spacing w:after="0"/>
        <w:jc w:val="both"/>
        <w:rPr>
          <w:rFonts w:ascii="Times New Roman" w:eastAsia="SimSun" w:hAnsi="Times New Roman" w:cs="Times New Roman"/>
          <w:noProof/>
          <w:sz w:val="24"/>
          <w:szCs w:val="24"/>
          <w:lang w:val="sr-Cyrl-CS"/>
        </w:rPr>
      </w:pPr>
    </w:p>
    <w:p>
      <w:pPr>
        <w:spacing w:after="0"/>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Мјесто и датум</w:t>
      </w:r>
      <w:r>
        <w:rPr>
          <w:rFonts w:ascii="Times New Roman" w:eastAsia="SimSun" w:hAnsi="Times New Roman" w:cs="Times New Roman"/>
          <w:noProof/>
          <w:sz w:val="24"/>
          <w:szCs w:val="24"/>
          <w:lang w:val="sr-Cyrl-CS"/>
        </w:rPr>
        <w:tab/>
        <w:t xml:space="preserve">                                                               Печат и потпис</w:t>
      </w:r>
    </w:p>
    <w:p>
      <w:pP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br/>
        <w:t xml:space="preserve">_____________________                                                         ________________________                     </w:t>
      </w:r>
    </w:p>
    <w:p>
      <w:pPr>
        <w:pBdr>
          <w:bottom w:val="single" w:sz="12" w:space="2" w:color="auto"/>
        </w:pBd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r>
      <w:r>
        <w:rPr>
          <w:rFonts w:ascii="Times New Roman" w:eastAsia="SimSun" w:hAnsi="Times New Roman" w:cs="Times New Roman"/>
          <w:noProof/>
          <w:sz w:val="24"/>
          <w:szCs w:val="24"/>
          <w:lang w:val="sr-Cyrl-CS"/>
        </w:rPr>
        <w:tab/>
        <w:t xml:space="preserve">                                                             М.П.</w:t>
      </w:r>
    </w:p>
    <w:p>
      <w:pPr>
        <w:pBdr>
          <w:bottom w:val="single" w:sz="12" w:space="2" w:color="auto"/>
        </w:pBdr>
        <w:spacing w:after="0"/>
        <w:jc w:val="both"/>
        <w:rPr>
          <w:rFonts w:ascii="Times New Roman" w:eastAsia="SimSun" w:hAnsi="Times New Roman" w:cs="Times New Roman"/>
          <w:noProof/>
          <w:sz w:val="24"/>
          <w:szCs w:val="24"/>
          <w:lang w:val="sr-Cyrl-CS"/>
        </w:rPr>
      </w:pPr>
    </w:p>
    <w:p>
      <w:pPr>
        <w:pBdr>
          <w:bottom w:val="single" w:sz="12" w:space="2" w:color="auto"/>
        </w:pBdr>
        <w:spacing w:after="0"/>
        <w:jc w:val="both"/>
        <w:rPr>
          <w:rFonts w:ascii="Times New Roman" w:eastAsia="SimSun" w:hAnsi="Times New Roman" w:cs="Times New Roman"/>
          <w:noProof/>
          <w:sz w:val="24"/>
          <w:szCs w:val="24"/>
          <w:lang w:val="sr-Cyrl-CS"/>
        </w:rPr>
      </w:pPr>
    </w:p>
    <w:p>
      <w:pPr>
        <w:pBdr>
          <w:bottom w:val="single" w:sz="12" w:space="2" w:color="auto"/>
        </w:pBdr>
        <w:spacing w:after="0"/>
        <w:jc w:val="both"/>
        <w:rPr>
          <w:rFonts w:ascii="Times New Roman" w:eastAsia="SimSun" w:hAnsi="Times New Roman" w:cs="Times New Roman"/>
          <w:noProof/>
          <w:sz w:val="24"/>
          <w:szCs w:val="24"/>
          <w:lang w:val="sr-Cyrl-CS"/>
        </w:rPr>
      </w:pPr>
    </w:p>
    <w:p>
      <w:pPr>
        <w:pBdr>
          <w:bottom w:val="single" w:sz="12" w:space="2" w:color="auto"/>
        </w:pBdr>
        <w:spacing w:after="0"/>
        <w:jc w:val="both"/>
        <w:rPr>
          <w:rFonts w:ascii="Times New Roman" w:eastAsia="SimSun" w:hAnsi="Times New Roman" w:cs="Times New Roman"/>
          <w:noProof/>
          <w:sz w:val="24"/>
          <w:szCs w:val="24"/>
          <w:lang w:val="sr-Cyrl-CS"/>
        </w:rPr>
      </w:pPr>
    </w:p>
    <w:p>
      <w:pPr>
        <w:pBdr>
          <w:bottom w:val="single" w:sz="12" w:space="2" w:color="auto"/>
        </w:pBdr>
        <w:spacing w:after="0"/>
        <w:jc w:val="both"/>
        <w:rPr>
          <w:rFonts w:ascii="Times New Roman" w:eastAsia="SimSun" w:hAnsi="Times New Roman" w:cs="Times New Roman"/>
          <w:noProof/>
          <w:sz w:val="24"/>
          <w:szCs w:val="24"/>
          <w:lang w:val="sr-Cyrl-CS"/>
        </w:rPr>
      </w:pPr>
      <w:r>
        <w:rPr>
          <w:rFonts w:ascii="Times New Roman" w:eastAsia="SimSun" w:hAnsi="Times New Roman" w:cs="Times New Roman"/>
          <w:noProof/>
          <w:sz w:val="24"/>
          <w:szCs w:val="24"/>
          <w:lang w:val="sr-Cyrl-CS"/>
        </w:rPr>
        <w:t>Напомена: попуњен захтјев послати поштом на адресу Маршала Тита 25, 71000 Сарајево.</w:t>
      </w:r>
    </w:p>
    <w:p>
      <w:pPr>
        <w:spacing w:after="0" w:line="360" w:lineRule="auto"/>
        <w:jc w:val="right"/>
        <w:rPr>
          <w:rFonts w:ascii="Times New Roman" w:eastAsia="Times New Roman" w:hAnsi="Times New Roman" w:cs="Times New Roman"/>
          <w:b/>
          <w:noProof/>
          <w:sz w:val="24"/>
          <w:szCs w:val="24"/>
          <w:lang w:val="sr-Cyrl-CS" w:eastAsia="hr-HR"/>
        </w:rPr>
      </w:pPr>
    </w:p>
    <w:p>
      <w:pPr>
        <w:spacing w:after="0" w:line="360" w:lineRule="auto"/>
        <w:jc w:val="right"/>
        <w:rPr>
          <w:rFonts w:ascii="Times New Roman" w:eastAsia="Times New Roman" w:hAnsi="Times New Roman" w:cs="Times New Roman"/>
          <w:b/>
          <w:noProof/>
          <w:sz w:val="24"/>
          <w:szCs w:val="24"/>
          <w:lang w:val="sr-Cyrl-CS" w:eastAsia="hr-HR"/>
        </w:rPr>
      </w:pPr>
    </w:p>
    <w:p>
      <w:pPr>
        <w:spacing w:after="0" w:line="360" w:lineRule="auto"/>
        <w:jc w:val="right"/>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 xml:space="preserve">ПРИЛОГ 3. </w:t>
      </w:r>
    </w:p>
    <w:p>
      <w:pPr>
        <w:spacing w:after="0" w:line="360" w:lineRule="auto"/>
        <w:jc w:val="both"/>
        <w:rPr>
          <w:rFonts w:ascii="Times New Roman" w:eastAsia="Times New Roman" w:hAnsi="Times New Roman" w:cs="Times New Roman"/>
          <w:b/>
          <w:noProof/>
          <w:sz w:val="24"/>
          <w:szCs w:val="24"/>
          <w:lang w:val="sr-Cyrl-CS" w:eastAsia="hr-HR"/>
        </w:rPr>
      </w:pPr>
      <w:r>
        <w:rPr>
          <w:rFonts w:ascii="Times New Roman" w:eastAsia="Times New Roman" w:hAnsi="Times New Roman" w:cs="Times New Roman"/>
          <w:b/>
          <w:noProof/>
          <w:sz w:val="24"/>
          <w:szCs w:val="24"/>
          <w:lang w:val="sr-Cyrl-CS" w:eastAsia="hr-HR"/>
        </w:rPr>
        <w:t>Параметри ИПС Би</w:t>
      </w:r>
      <w:bookmarkEnd w:id="7"/>
      <w:bookmarkEnd w:id="8"/>
      <w:bookmarkEnd w:id="9"/>
      <w:bookmarkEnd w:id="10"/>
      <w:bookmarkEnd w:id="11"/>
      <w:bookmarkEnd w:id="12"/>
      <w:bookmarkEnd w:id="13"/>
      <w:r>
        <w:rPr>
          <w:rFonts w:ascii="Times New Roman" w:eastAsia="Times New Roman" w:hAnsi="Times New Roman" w:cs="Times New Roman"/>
          <w:b/>
          <w:noProof/>
          <w:sz w:val="24"/>
          <w:szCs w:val="24"/>
          <w:lang w:val="sr-Cyrl-CS" w:eastAsia="hr-HR"/>
        </w:rPr>
        <w:t>Х</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Latn-CS" w:eastAsia="hr-HR"/>
        </w:rPr>
        <w:t>SCT INST</w:t>
      </w:r>
      <w:r>
        <w:rPr>
          <w:rFonts w:ascii="Times New Roman" w:eastAsia="Times New Roman" w:hAnsi="Times New Roman" w:cs="Times New Roman"/>
          <w:noProof/>
          <w:sz w:val="24"/>
          <w:szCs w:val="24"/>
          <w:lang w:val="sr-Cyrl-CS" w:eastAsia="hr-HR"/>
        </w:rPr>
        <w:t>: временска ознака (</w:t>
      </w:r>
      <w:r>
        <w:rPr>
          <w:rFonts w:ascii="Times New Roman" w:eastAsia="Times New Roman" w:hAnsi="Times New Roman" w:cs="Times New Roman"/>
          <w:noProof/>
          <w:sz w:val="24"/>
          <w:szCs w:val="24"/>
          <w:lang w:val="sr-Latn-CS" w:eastAsia="hr-HR"/>
        </w:rPr>
        <w:t>Timeout</w:t>
      </w:r>
      <w:r>
        <w:rPr>
          <w:rFonts w:ascii="Times New Roman" w:eastAsia="Times New Roman" w:hAnsi="Times New Roman" w:cs="Times New Roman"/>
          <w:noProof/>
          <w:sz w:val="24"/>
          <w:szCs w:val="24"/>
          <w:lang w:val="sr-Cyrl-CS" w:eastAsia="hr-HR"/>
        </w:rPr>
        <w:t>): 7 секунди</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Latn-CS" w:eastAsia="hr-HR"/>
        </w:rPr>
        <w:t>HARD TIMEOUT</w:t>
      </w:r>
      <w:r>
        <w:rPr>
          <w:rFonts w:ascii="Times New Roman" w:eastAsia="Times New Roman" w:hAnsi="Times New Roman" w:cs="Times New Roman"/>
          <w:noProof/>
          <w:sz w:val="24"/>
          <w:szCs w:val="24"/>
          <w:lang w:val="sr-Cyrl-CS" w:eastAsia="hr-HR"/>
        </w:rPr>
        <w:t>: 10 секунди</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на страни налогодавца: 1 секунда</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на страни корисника: 0 секунди</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Временско ограничење (</w:t>
      </w:r>
      <w:r>
        <w:rPr>
          <w:rFonts w:ascii="Times New Roman" w:eastAsia="Times New Roman" w:hAnsi="Times New Roman" w:cs="Times New Roman"/>
          <w:noProof/>
          <w:sz w:val="24"/>
          <w:szCs w:val="24"/>
          <w:lang w:val="sr-Latn-CS" w:eastAsia="hr-HR"/>
        </w:rPr>
        <w:t>Timeout</w:t>
      </w:r>
      <w:r>
        <w:rPr>
          <w:rFonts w:ascii="Times New Roman" w:eastAsia="Times New Roman" w:hAnsi="Times New Roman" w:cs="Times New Roman"/>
          <w:noProof/>
          <w:sz w:val="24"/>
          <w:szCs w:val="24"/>
          <w:lang w:val="sr-Cyrl-CS" w:eastAsia="hr-HR"/>
        </w:rPr>
        <w:t xml:space="preserve">) за </w:t>
      </w:r>
      <w:r>
        <w:rPr>
          <w:rFonts w:ascii="Times New Roman" w:eastAsia="Times New Roman" w:hAnsi="Times New Roman" w:cs="Times New Roman"/>
          <w:noProof/>
          <w:sz w:val="24"/>
          <w:szCs w:val="24"/>
          <w:lang w:val="sr-Latn-CS" w:eastAsia="hr-HR"/>
        </w:rPr>
        <w:t>IPT1</w:t>
      </w:r>
      <w:r>
        <w:rPr>
          <w:rFonts w:ascii="Times New Roman" w:eastAsia="Times New Roman" w:hAnsi="Times New Roman" w:cs="Times New Roman"/>
          <w:noProof/>
          <w:sz w:val="24"/>
          <w:szCs w:val="24"/>
          <w:lang w:val="sr-Cyrl-CS" w:eastAsia="hr-HR"/>
        </w:rPr>
        <w:t xml:space="preserve">: 6 секунди (Временско ограничење за </w:t>
      </w:r>
      <w:r>
        <w:rPr>
          <w:rFonts w:ascii="Times New Roman" w:eastAsia="Times New Roman" w:hAnsi="Times New Roman" w:cs="Times New Roman"/>
          <w:noProof/>
          <w:sz w:val="24"/>
          <w:szCs w:val="24"/>
          <w:lang w:val="sr-Latn-CS" w:eastAsia="hr-HR"/>
        </w:rPr>
        <w:t xml:space="preserve">SCTInst </w:t>
      </w:r>
      <w:r>
        <w:rPr>
          <w:rFonts w:ascii="Times New Roman" w:eastAsia="Times New Roman" w:hAnsi="Times New Roman" w:cs="Times New Roman"/>
          <w:noProof/>
          <w:sz w:val="24"/>
          <w:szCs w:val="24"/>
          <w:lang w:val="sr-Cyrl-CS" w:eastAsia="hr-HR"/>
        </w:rPr>
        <w:t>временску ознаку минус 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на страни налогодавца)</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Временско ограничење (</w:t>
      </w:r>
      <w:r>
        <w:rPr>
          <w:rFonts w:ascii="Times New Roman" w:eastAsia="Times New Roman" w:hAnsi="Times New Roman" w:cs="Times New Roman"/>
          <w:noProof/>
          <w:sz w:val="24"/>
          <w:szCs w:val="24"/>
          <w:lang w:val="sr-Latn-CS" w:eastAsia="hr-HR"/>
        </w:rPr>
        <w:t>Timeout</w:t>
      </w:r>
      <w:r>
        <w:rPr>
          <w:rFonts w:ascii="Times New Roman" w:eastAsia="Times New Roman" w:hAnsi="Times New Roman" w:cs="Times New Roman"/>
          <w:noProof/>
          <w:sz w:val="24"/>
          <w:szCs w:val="24"/>
          <w:lang w:val="sr-Cyrl-CS" w:eastAsia="hr-HR"/>
        </w:rPr>
        <w:t xml:space="preserve">) за </w:t>
      </w:r>
      <w:r>
        <w:rPr>
          <w:rFonts w:ascii="Times New Roman" w:eastAsia="Times New Roman" w:hAnsi="Times New Roman" w:cs="Times New Roman"/>
          <w:noProof/>
          <w:sz w:val="24"/>
          <w:szCs w:val="24"/>
          <w:lang w:val="sr-Latn-CS" w:eastAsia="hr-HR"/>
        </w:rPr>
        <w:t>IPT2</w:t>
      </w:r>
      <w:r>
        <w:rPr>
          <w:rFonts w:ascii="Times New Roman" w:eastAsia="Times New Roman" w:hAnsi="Times New Roman" w:cs="Times New Roman"/>
          <w:noProof/>
          <w:sz w:val="24"/>
          <w:szCs w:val="24"/>
          <w:lang w:val="sr-Cyrl-CS" w:eastAsia="hr-HR"/>
        </w:rPr>
        <w:t xml:space="preserve">: 7 секунди: (Временско ограничење за </w:t>
      </w:r>
      <w:r>
        <w:rPr>
          <w:rFonts w:ascii="Times New Roman" w:eastAsia="Times New Roman" w:hAnsi="Times New Roman" w:cs="Times New Roman"/>
          <w:noProof/>
          <w:sz w:val="24"/>
          <w:szCs w:val="24"/>
          <w:lang w:val="sr-Latn-CS" w:eastAsia="hr-HR"/>
        </w:rPr>
        <w:t>SCTInst</w:t>
      </w:r>
      <w:r>
        <w:rPr>
          <w:rFonts w:ascii="Times New Roman" w:eastAsia="Times New Roman" w:hAnsi="Times New Roman" w:cs="Times New Roman"/>
          <w:noProof/>
          <w:sz w:val="24"/>
          <w:szCs w:val="24"/>
          <w:lang w:val="sr-Cyrl-CS" w:eastAsia="hr-HR"/>
        </w:rPr>
        <w:t xml:space="preserve"> временску ознаку плус 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на страни корисника)</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Максимално вријеме извршења за инстант плаћања: 5 секунди</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истраге за поруке о плаћању: 2 секунде</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 xml:space="preserve">Временско ограничење истраге: 9 секунди (временско ограничење за </w:t>
      </w:r>
      <w:r>
        <w:rPr>
          <w:rFonts w:ascii="Times New Roman" w:eastAsia="Times New Roman" w:hAnsi="Times New Roman" w:cs="Times New Roman"/>
          <w:noProof/>
          <w:sz w:val="24"/>
          <w:szCs w:val="24"/>
          <w:lang w:val="sr-Latn-CS" w:eastAsia="hr-HR"/>
        </w:rPr>
        <w:t>SCTInst</w:t>
      </w:r>
      <w:r>
        <w:rPr>
          <w:rFonts w:ascii="Times New Roman" w:eastAsia="Times New Roman" w:hAnsi="Times New Roman" w:cs="Times New Roman"/>
          <w:noProof/>
          <w:sz w:val="24"/>
          <w:szCs w:val="24"/>
          <w:lang w:val="sr-Cyrl-CS" w:eastAsia="hr-HR"/>
        </w:rPr>
        <w:t xml:space="preserve"> временску ознаку плус 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истраге)</w:t>
      </w:r>
    </w:p>
    <w:p>
      <w:pPr>
        <w:numPr>
          <w:ilvl w:val="0"/>
          <w:numId w:val="37"/>
        </w:numPr>
        <w:spacing w:after="0" w:line="360" w:lineRule="auto"/>
        <w:jc w:val="both"/>
        <w:rPr>
          <w:rFonts w:ascii="Times New Roman" w:eastAsia="Times New Roman" w:hAnsi="Times New Roman" w:cs="Times New Roman"/>
          <w:noProof/>
          <w:sz w:val="24"/>
          <w:szCs w:val="24"/>
          <w:lang w:val="sr-Cyrl-CS" w:eastAsia="hr-HR"/>
        </w:rPr>
      </w:pPr>
      <w:r>
        <w:rPr>
          <w:rFonts w:ascii="Times New Roman" w:eastAsia="Times New Roman" w:hAnsi="Times New Roman" w:cs="Times New Roman"/>
          <w:noProof/>
          <w:sz w:val="24"/>
          <w:szCs w:val="24"/>
          <w:lang w:val="sr-Cyrl-CS" w:eastAsia="hr-HR"/>
        </w:rPr>
        <w:t>Одгода (</w:t>
      </w:r>
      <w:r>
        <w:rPr>
          <w:rFonts w:ascii="Times New Roman" w:eastAsia="Times New Roman" w:hAnsi="Times New Roman" w:cs="Times New Roman"/>
          <w:noProof/>
          <w:sz w:val="24"/>
          <w:szCs w:val="24"/>
          <w:lang w:val="sr-Latn-CS" w:eastAsia="hr-HR"/>
        </w:rPr>
        <w:t>Offset</w:t>
      </w:r>
      <w:r>
        <w:rPr>
          <w:rFonts w:ascii="Times New Roman" w:eastAsia="Times New Roman" w:hAnsi="Times New Roman" w:cs="Times New Roman"/>
          <w:noProof/>
          <w:sz w:val="24"/>
          <w:szCs w:val="24"/>
          <w:lang w:val="sr-Cyrl-CS" w:eastAsia="hr-HR"/>
        </w:rPr>
        <w:t>) истраге за поруке које се не односе на плаћање: петнаест (15) радних дана</w:t>
      </w:r>
    </w:p>
    <w:p>
      <w:pPr>
        <w:spacing w:after="0" w:line="360" w:lineRule="auto"/>
        <w:jc w:val="both"/>
        <w:rPr>
          <w:rFonts w:ascii="Times New Roman" w:eastAsia="Times New Roman" w:hAnsi="Times New Roman" w:cs="Times New Roman"/>
          <w:noProof/>
          <w:sz w:val="24"/>
          <w:szCs w:val="24"/>
          <w:lang w:val="sr-Cyrl-CS" w:eastAsia="hr-HR"/>
        </w:rPr>
      </w:pPr>
    </w:p>
    <w:p>
      <w:pPr>
        <w:spacing w:after="0" w:line="360" w:lineRule="auto"/>
        <w:jc w:val="both"/>
        <w:rPr>
          <w:rFonts w:ascii="Times New Roman" w:eastAsia="Times New Roman" w:hAnsi="Times New Roman" w:cs="Times New Roman"/>
          <w:noProof/>
          <w:sz w:val="24"/>
          <w:szCs w:val="24"/>
          <w:lang w:val="sr-Cyrl-CS" w:eastAsia="hr-HR"/>
        </w:rPr>
      </w:pPr>
    </w:p>
    <w:p>
      <w:pPr>
        <w:keepNext/>
        <w:keepLines/>
        <w:spacing w:before="240" w:after="0" w:line="360" w:lineRule="auto"/>
        <w:ind w:left="360" w:hanging="360"/>
        <w:jc w:val="both"/>
        <w:outlineLvl w:val="0"/>
        <w:rPr>
          <w:rFonts w:asciiTheme="majorHAnsi" w:eastAsiaTheme="majorEastAsia" w:hAnsiTheme="majorHAnsi" w:cstheme="majorBidi"/>
          <w:noProof/>
          <w:color w:val="2E74B5" w:themeColor="accent1" w:themeShade="BF"/>
          <w:sz w:val="32"/>
          <w:szCs w:val="32"/>
          <w:lang w:val="sr-Cyrl-CS" w:eastAsia="hr-HR"/>
        </w:rPr>
      </w:pPr>
      <w:bookmarkStart w:id="14" w:name="_Toc233108104"/>
    </w:p>
    <w:bookmarkEnd w:id="14"/>
    <w:p>
      <w:pPr>
        <w:spacing w:after="0" w:line="360" w:lineRule="auto"/>
        <w:jc w:val="both"/>
        <w:rPr>
          <w:rFonts w:ascii="Times New Roman" w:eastAsia="Times New Roman" w:hAnsi="Times New Roman" w:cs="Times New Roman"/>
          <w:noProof/>
          <w:sz w:val="24"/>
          <w:szCs w:val="24"/>
          <w:lang w:val="sr-Cyrl-CS" w:eastAsia="hr-HR"/>
        </w:rPr>
      </w:pPr>
    </w:p>
    <w:p>
      <w:pPr>
        <w:rPr>
          <w:rFonts w:ascii="Times New Roman" w:hAnsi="Times New Roman" w:cs="Times New Roman"/>
          <w:b/>
          <w:noProof/>
          <w:sz w:val="24"/>
          <w:szCs w:val="24"/>
          <w:lang w:val="sr-Cyrl-CS"/>
        </w:rPr>
      </w:pPr>
    </w:p>
    <w:sectPr>
      <w:footerReference w:type="default" r:id="rId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29902378"/>
      <w:docPartObj>
        <w:docPartGallery w:val="Page Numbers (Bottom of Page)"/>
        <w:docPartUnique/>
      </w:docPartObj>
    </w:sdtPr>
    <w:sdtEndPr>
      <w:rPr>
        <w:noProof/>
      </w:rPr>
    </w:sdtEndPr>
    <w:sdtContent>
      <w:p>
        <w:pPr>
          <w:pStyle w:val="Footer"/>
          <w:jc w:val="right"/>
        </w:pPr>
        <w:r>
          <w:rPr>
            <w:noProof w:val="0"/>
          </w:rPr>
          <w:fldChar w:fldCharType="begin"/>
        </w:r>
        <w:r>
          <w:instrText xml:space="preserve"> PAGE   \* MERGEFORMAT </w:instrText>
        </w:r>
        <w:r>
          <w:rPr>
            <w:noProof w:val="0"/>
          </w:rPr>
          <w:fldChar w:fldCharType="separate"/>
        </w:r>
        <w:r>
          <w:t>17</w:t>
        </w:r>
        <w: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CAE"/>
    <w:multiLevelType w:val="hybridMultilevel"/>
    <w:tmpl w:val="2E3E613A"/>
    <w:lvl w:ilvl="0" w:tplc="04090017">
      <w:start w:val="1"/>
      <w:numFmt w:val="low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 w15:restartNumberingAfterBreak="0">
    <w:nsid w:val="006674F4"/>
    <w:multiLevelType w:val="hybridMultilevel"/>
    <w:tmpl w:val="12E8A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965"/>
    <w:multiLevelType w:val="hybridMultilevel"/>
    <w:tmpl w:val="884C6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017EC"/>
    <w:multiLevelType w:val="hybridMultilevel"/>
    <w:tmpl w:val="6B9A50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B12EB"/>
    <w:multiLevelType w:val="hybridMultilevel"/>
    <w:tmpl w:val="E2F2EB0A"/>
    <w:lvl w:ilvl="0" w:tplc="7BA859F0">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104"/>
    <w:multiLevelType w:val="hybridMultilevel"/>
    <w:tmpl w:val="04EA0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2021E"/>
    <w:multiLevelType w:val="hybridMultilevel"/>
    <w:tmpl w:val="F27E6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64CD6"/>
    <w:multiLevelType w:val="hybridMultilevel"/>
    <w:tmpl w:val="DB1A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C01"/>
    <w:multiLevelType w:val="hybridMultilevel"/>
    <w:tmpl w:val="A5F2E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F3807"/>
    <w:multiLevelType w:val="hybridMultilevel"/>
    <w:tmpl w:val="684E0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E1744"/>
    <w:multiLevelType w:val="hybridMultilevel"/>
    <w:tmpl w:val="6666F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C3265"/>
    <w:multiLevelType w:val="hybridMultilevel"/>
    <w:tmpl w:val="391EB4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772031"/>
    <w:multiLevelType w:val="hybridMultilevel"/>
    <w:tmpl w:val="487E8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A2276"/>
    <w:multiLevelType w:val="hybridMultilevel"/>
    <w:tmpl w:val="92CC43BC"/>
    <w:lvl w:ilvl="0" w:tplc="07B64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C7AB8"/>
    <w:multiLevelType w:val="hybridMultilevel"/>
    <w:tmpl w:val="94B09D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E3284"/>
    <w:multiLevelType w:val="hybridMultilevel"/>
    <w:tmpl w:val="6A2A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269B7"/>
    <w:multiLevelType w:val="hybridMultilevel"/>
    <w:tmpl w:val="9E4C4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4046A"/>
    <w:multiLevelType w:val="hybridMultilevel"/>
    <w:tmpl w:val="ED6865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96116"/>
    <w:multiLevelType w:val="hybridMultilevel"/>
    <w:tmpl w:val="BD6435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53445"/>
    <w:multiLevelType w:val="hybridMultilevel"/>
    <w:tmpl w:val="7632E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9279D"/>
    <w:multiLevelType w:val="hybridMultilevel"/>
    <w:tmpl w:val="BCD01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D0484"/>
    <w:multiLevelType w:val="hybridMultilevel"/>
    <w:tmpl w:val="ED1CD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90062F"/>
    <w:multiLevelType w:val="hybridMultilevel"/>
    <w:tmpl w:val="C4406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B72F5"/>
    <w:multiLevelType w:val="hybridMultilevel"/>
    <w:tmpl w:val="638E946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4480180E"/>
    <w:multiLevelType w:val="hybridMultilevel"/>
    <w:tmpl w:val="EC5E7D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C256CCD"/>
    <w:multiLevelType w:val="hybridMultilevel"/>
    <w:tmpl w:val="263AF830"/>
    <w:lvl w:ilvl="0" w:tplc="0DD289DC">
      <w:start w:val="3"/>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4D9045E2"/>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E0311"/>
    <w:multiLevelType w:val="hybridMultilevel"/>
    <w:tmpl w:val="BA1E88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7B68C5"/>
    <w:multiLevelType w:val="hybridMultilevel"/>
    <w:tmpl w:val="F3EC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066241"/>
    <w:multiLevelType w:val="hybridMultilevel"/>
    <w:tmpl w:val="C0D8D6B8"/>
    <w:lvl w:ilvl="0" w:tplc="04090017">
      <w:start w:val="1"/>
      <w:numFmt w:val="lowerLetter"/>
      <w:lvlText w:val="%1)"/>
      <w:lvlJc w:val="left"/>
      <w:pPr>
        <w:ind w:left="720" w:hanging="360"/>
      </w:pPr>
    </w:lvl>
    <w:lvl w:ilvl="1" w:tplc="FC8E5EE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AE2838"/>
    <w:multiLevelType w:val="hybridMultilevel"/>
    <w:tmpl w:val="494EA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524EC"/>
    <w:multiLevelType w:val="hybridMultilevel"/>
    <w:tmpl w:val="47364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1411E"/>
    <w:multiLevelType w:val="hybridMultilevel"/>
    <w:tmpl w:val="A5146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22050B"/>
    <w:multiLevelType w:val="hybridMultilevel"/>
    <w:tmpl w:val="BFC80B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E47FCA"/>
    <w:multiLevelType w:val="hybridMultilevel"/>
    <w:tmpl w:val="94C020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595485"/>
    <w:multiLevelType w:val="hybridMultilevel"/>
    <w:tmpl w:val="F05CA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D6A20"/>
    <w:multiLevelType w:val="hybridMultilevel"/>
    <w:tmpl w:val="420C4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904784"/>
    <w:multiLevelType w:val="hybridMultilevel"/>
    <w:tmpl w:val="EBF8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703026D2"/>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79404D"/>
    <w:multiLevelType w:val="hybridMultilevel"/>
    <w:tmpl w:val="86D659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406B6"/>
    <w:multiLevelType w:val="hybridMultilevel"/>
    <w:tmpl w:val="6118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B3D2C"/>
    <w:multiLevelType w:val="hybridMultilevel"/>
    <w:tmpl w:val="1A824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572CD"/>
    <w:multiLevelType w:val="hybridMultilevel"/>
    <w:tmpl w:val="D14CE5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3"/>
  </w:num>
  <w:num w:numId="3">
    <w:abstractNumId w:val="25"/>
  </w:num>
  <w:num w:numId="4">
    <w:abstractNumId w:val="28"/>
  </w:num>
  <w:num w:numId="5">
    <w:abstractNumId w:val="41"/>
  </w:num>
  <w:num w:numId="6">
    <w:abstractNumId w:val="15"/>
  </w:num>
  <w:num w:numId="7">
    <w:abstractNumId w:val="17"/>
  </w:num>
  <w:num w:numId="8">
    <w:abstractNumId w:val="10"/>
  </w:num>
  <w:num w:numId="9">
    <w:abstractNumId w:val="35"/>
  </w:num>
  <w:num w:numId="10">
    <w:abstractNumId w:val="2"/>
  </w:num>
  <w:num w:numId="11">
    <w:abstractNumId w:val="29"/>
  </w:num>
  <w:num w:numId="12">
    <w:abstractNumId w:val="43"/>
  </w:num>
  <w:num w:numId="13">
    <w:abstractNumId w:val="19"/>
  </w:num>
  <w:num w:numId="14">
    <w:abstractNumId w:val="26"/>
  </w:num>
  <w:num w:numId="15">
    <w:abstractNumId w:val="33"/>
  </w:num>
  <w:num w:numId="16">
    <w:abstractNumId w:val="8"/>
  </w:num>
  <w:num w:numId="17">
    <w:abstractNumId w:val="34"/>
  </w:num>
  <w:num w:numId="18">
    <w:abstractNumId w:val="30"/>
  </w:num>
  <w:num w:numId="19">
    <w:abstractNumId w:val="13"/>
  </w:num>
  <w:num w:numId="20">
    <w:abstractNumId w:val="32"/>
  </w:num>
  <w:num w:numId="21">
    <w:abstractNumId w:val="6"/>
  </w:num>
  <w:num w:numId="22">
    <w:abstractNumId w:val="20"/>
  </w:num>
  <w:num w:numId="23">
    <w:abstractNumId w:val="5"/>
  </w:num>
  <w:num w:numId="24">
    <w:abstractNumId w:val="9"/>
  </w:num>
  <w:num w:numId="25">
    <w:abstractNumId w:val="0"/>
  </w:num>
  <w:num w:numId="26">
    <w:abstractNumId w:val="4"/>
  </w:num>
  <w:num w:numId="27">
    <w:abstractNumId w:val="14"/>
  </w:num>
  <w:num w:numId="28">
    <w:abstractNumId w:val="12"/>
  </w:num>
  <w:num w:numId="29">
    <w:abstractNumId w:val="42"/>
  </w:num>
  <w:num w:numId="30">
    <w:abstractNumId w:val="22"/>
  </w:num>
  <w:num w:numId="31">
    <w:abstractNumId w:val="39"/>
  </w:num>
  <w:num w:numId="32">
    <w:abstractNumId w:val="11"/>
  </w:num>
  <w:num w:numId="33">
    <w:abstractNumId w:val="24"/>
  </w:num>
  <w:num w:numId="34">
    <w:abstractNumId w:val="40"/>
  </w:num>
  <w:num w:numId="35">
    <w:abstractNumId w:val="21"/>
  </w:num>
  <w:num w:numId="36">
    <w:abstractNumId w:val="27"/>
  </w:num>
  <w:num w:numId="37">
    <w:abstractNumId w:val="7"/>
  </w:num>
  <w:num w:numId="38">
    <w:abstractNumId w:val="37"/>
  </w:num>
  <w:num w:numId="39">
    <w:abstractNumId w:val="36"/>
  </w:num>
  <w:num w:numId="40">
    <w:abstractNumId w:val="3"/>
  </w:num>
  <w:num w:numId="41">
    <w:abstractNumId w:val="1"/>
  </w:num>
  <w:num w:numId="42">
    <w:abstractNumId w:val="18"/>
  </w:num>
  <w:num w:numId="43">
    <w:abstractNumId w:val="31"/>
  </w:num>
  <w:num w:numId="44">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E5232-AE4F-442A-B82F-BFF7D71D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line="360" w:lineRule="auto"/>
      <w:jc w:val="both"/>
      <w:outlineLvl w:val="0"/>
    </w:pPr>
    <w:rPr>
      <w:rFonts w:asciiTheme="majorHAnsi" w:eastAsiaTheme="majorEastAsia" w:hAnsiTheme="majorHAnsi" w:cstheme="majorBidi"/>
      <w:color w:val="2E74B5" w:themeColor="accent1" w:themeShade="BF"/>
      <w:sz w:val="32"/>
      <w:szCs w:val="32"/>
      <w:lang w:val="hr-HR" w:eastAsia="hr-HR"/>
    </w:rPr>
  </w:style>
  <w:style w:type="paragraph" w:styleId="Heading2">
    <w:name w:val="heading 2"/>
    <w:aliases w:val="H2,h2,2,l2,list + change bar,CAPITOLO,H21,H22,Header 2,Arial 12 Fett Kursiv,Reset numbering,PIM2,Fab-2,Heading 2 Hidden,Sub-Head1,L2,Chapter Title,section 1.1,kop 14/b,proj2,proj21,proj22,proj23,proj24,proj25,proj26,proj27,proj28,proj29,1.1"/>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ListParagraph">
    <w:name w:val="List Paragraph"/>
    <w:aliases w:val="Resume Title,heading 4,Graphic,List Paragraph1,Citation List,Ha,Bullets1,Paragraphe de liste1,Puces,texte de base,Lettre d'introduction,Numbered paragraph 1,References,List_Paragraph,Multilevel para_II,List Paragraph (numbered (a)),lp1,ne"/>
    <w:basedOn w:val="Normal"/>
    <w:link w:val="ListParagraphChar"/>
    <w:uiPriority w:val="34"/>
    <w:qFormat/>
    <w:pPr>
      <w:ind w:left="720"/>
      <w:contextualSpacing/>
    </w:pPr>
    <w:rPr>
      <w:lang w:val="bs-Latn-BA"/>
    </w:rPr>
  </w:style>
  <w:style w:type="paragraph" w:styleId="Header">
    <w:name w:val="header"/>
    <w:basedOn w:val="Normal"/>
    <w:link w:val="HeaderChar"/>
    <w:uiPriority w:val="9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spacing w:after="0" w:line="240" w:lineRule="auto"/>
    </w:pPr>
    <w:rPr>
      <w:noProof/>
      <w:lang w:val="bs-Latn-BA"/>
    </w:rPr>
  </w:style>
  <w:style w:type="character" w:customStyle="1" w:styleId="FooterChar">
    <w:name w:val="Footer Char"/>
    <w:basedOn w:val="DefaultParagraphFont"/>
    <w:link w:val="Footer"/>
    <w:uiPriority w:val="99"/>
    <w:rPr>
      <w:noProof/>
      <w:lang w:val="bs-Latn-BA"/>
    </w:rPr>
  </w:style>
  <w:style w:type="paragraph" w:styleId="PlainText">
    <w:name w:val="Plain Text"/>
    <w:basedOn w:val="Normal"/>
    <w:link w:val="PlainTextChar"/>
    <w:uiPriority w:val="99"/>
    <w:unhideWhenUsed/>
    <w:pPr>
      <w:spacing w:after="0" w:line="240" w:lineRule="auto"/>
    </w:pPr>
    <w:rPr>
      <w:rFonts w:ascii="Calibri" w:hAnsi="Calibri"/>
      <w:szCs w:val="21"/>
      <w:lang w:val="sr-Latn-BA"/>
    </w:rPr>
  </w:style>
  <w:style w:type="character" w:customStyle="1" w:styleId="PlainTextChar">
    <w:name w:val="Plain Text Char"/>
    <w:basedOn w:val="DefaultParagraphFont"/>
    <w:link w:val="PlainText"/>
    <w:uiPriority w:val="99"/>
    <w:rPr>
      <w:rFonts w:ascii="Calibri" w:hAnsi="Calibri"/>
      <w:szCs w:val="21"/>
      <w:lang w:val="sr-Latn-BA"/>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style>
  <w:style w:type="paragraph" w:styleId="FootnoteText">
    <w:name w:val="footnote text"/>
    <w:aliases w:val="single space,FOOTNOTES,fn,ADB,WB-Fuﬂnotentext,Footnote,Fuﬂnote,WB-Fußnotentext,Fußnote,Char,Footnote Text Char Char Char Char Char Char,ALTS FOOTNOTE,Footnote text,single spacing,ft,Footnote Text Char1,f,DSE note,láblé,lábléc,footnote text"/>
    <w:basedOn w:val="Normal"/>
    <w:link w:val="FootnoteTextChar"/>
    <w:uiPriority w:val="99"/>
    <w:unhideWhenUsed/>
    <w:qFormat/>
    <w:pPr>
      <w:spacing w:after="0" w:line="240" w:lineRule="auto"/>
    </w:pPr>
    <w:rPr>
      <w:kern w:val="2"/>
      <w:sz w:val="20"/>
      <w:szCs w:val="20"/>
      <w14:ligatures w14:val="standardContextual"/>
    </w:rPr>
  </w:style>
  <w:style w:type="character" w:customStyle="1" w:styleId="FootnoteTextChar">
    <w:name w:val="Footnote Text Char"/>
    <w:aliases w:val="single space Char,FOOTNOTES Char,fn Char,ADB Char,WB-Fuﬂnotentext Char,Footnote Char,Fuﬂnote Char,WB-Fußnotentext Char,Fußnote Char,Char Char,Footnote Text Char Char Char Char Char Char Char,ALTS FOOTNOTE Char,Footnote text Char"/>
    <w:basedOn w:val="DefaultParagraphFont"/>
    <w:link w:val="FootnoteText"/>
    <w:uiPriority w:val="99"/>
    <w:rPr>
      <w:kern w:val="2"/>
      <w:sz w:val="20"/>
      <w:szCs w:val="20"/>
      <w14:ligatures w14:val="standardContextual"/>
    </w:rPr>
  </w:style>
  <w:style w:type="character" w:styleId="FootnoteReference">
    <w:name w:val="footnote reference"/>
    <w:aliases w:val="fr,Style 49,Footnote EY Interstate,Footnote Arial 8 single space,EY Footnote Reference,referencia nota al pie,ftref,SUPERS,Footnote reference number,Footnote symbol,note TESI,-E Fußnotenzeichen,number,BVI fnr,(Footnote Reference)"/>
    <w:basedOn w:val="DefaultParagraphFont"/>
    <w:uiPriority w:val="99"/>
    <w:unhideWhenUsed/>
    <w:qFormat/>
    <w:rPr>
      <w:vertAlign w:val="superscript"/>
    </w:rPr>
  </w:style>
  <w:style w:type="character" w:customStyle="1" w:styleId="Hyperlink1">
    <w:name w:val="Hyperlink1"/>
    <w:basedOn w:val="DefaultParagraphFont"/>
    <w:uiPriority w:val="99"/>
    <w:unhideWhenUsed/>
    <w:rPr>
      <w:color w:val="0563C1"/>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lang w:val="bs-Latn-BA"/>
    </w:rPr>
  </w:style>
  <w:style w:type="character" w:styleId="Hyperlink">
    <w:name w:val="Hyperlink"/>
    <w:basedOn w:val="DefaultParagraphFont"/>
    <w:uiPriority w:val="99"/>
    <w:semiHidden/>
    <w:unhideWhenUsed/>
    <w:rPr>
      <w:color w:val="0563C1" w:themeColor="hyperlink"/>
      <w:u w:val="single"/>
    </w:rPr>
  </w:style>
  <w:style w:type="character" w:customStyle="1" w:styleId="Heading2Char">
    <w:name w:val="Heading 2 Char"/>
    <w:aliases w:val="H2 Char,h2 Char,2 Char,l2 Char,list + change bar Char,CAPITOLO Char,H21 Char,H22 Char,Header 2 Char,Arial 12 Fett Kursiv Char,Reset numbering Char,PIM2 Char,Fab-2 Char,Heading 2 Hidden Char,Sub-Head1 Char,L2 Char,Chapter Title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hr-HR" w:eastAsia="hr-HR"/>
    </w:rPr>
  </w:style>
  <w:style w:type="numbering" w:customStyle="1" w:styleId="NoList2">
    <w:name w:val="No List2"/>
    <w:next w:val="NoList"/>
    <w:uiPriority w:val="99"/>
    <w:semiHidden/>
    <w:unhideWhenUsed/>
  </w:style>
  <w:style w:type="character" w:customStyle="1" w:styleId="ListParagraphChar">
    <w:name w:val="List Paragraph Char"/>
    <w:aliases w:val="Resume Title Char,heading 4 Char,Graphic Char,List Paragraph1 Char,Citation List Char,Ha Char,Bullets1 Char,Paragraphe de liste1 Char,Puces Char,texte de base Char,Lettre d'introduction Char,Numbered paragraph 1 Char,References Char"/>
    <w:link w:val="ListParagraph"/>
    <w:uiPriority w:val="34"/>
    <w:qFormat/>
    <w:locked/>
    <w:rPr>
      <w:lang w:val="bs-Latn-B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table" w:customStyle="1" w:styleId="TableGrid3">
    <w:name w:val="Table Grid3"/>
    <w:basedOn w:val="TableNormal"/>
    <w:next w:val="TableGrid"/>
    <w:uiPriority w:val="1"/>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03B02-D0A4-413A-ADE5-87C0CD3D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20</Pages>
  <Words>4858</Words>
  <Characters>27692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Kadira Suljanovic</dc:creator>
  <cp:keywords/>
  <dc:description/>
  <cp:lastModifiedBy>Damir Soco</cp:lastModifiedBy>
  <cp:revision>27</cp:revision>
  <cp:lastPrinted>2025-05-21T11:40:00Z</cp:lastPrinted>
  <dcterms:created xsi:type="dcterms:W3CDTF">2026-07-13T20:27:00Z</dcterms:created>
  <dcterms:modified xsi:type="dcterms:W3CDTF">2026-07-15T13:18:00Z</dcterms:modified>
</cp:coreProperties>
</file>