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odyText"/>
        <w:jc w:val="both"/>
        <w:rPr>
          <w:rFonts w:ascii="Times New Roman" w:hAnsi="Times New Roman"/>
          <w:noProof/>
          <w:color w:val="000000"/>
          <w:szCs w:val="24"/>
          <w:lang w:val="sr-Cyrl-CS"/>
        </w:rPr>
      </w:pPr>
      <w:r>
        <w:rPr>
          <w:rFonts w:ascii="Times New Roman" w:hAnsi="Times New Roman"/>
          <w:noProof/>
          <w:szCs w:val="24"/>
          <w:lang w:val="sr-Cyrl-CS"/>
        </w:rPr>
        <w:t xml:space="preserve">На основу члана 2. став 3. тачака а., д., ф. и г., члана 7. тачке б) и чланова 36. и 57. Закона о Централној банци Босне и Херцеговине </w:t>
      </w:r>
      <w:r>
        <w:rPr>
          <w:rFonts w:ascii="Times New Roman" w:hAnsi="Times New Roman"/>
          <w:noProof/>
          <w:color w:val="000000"/>
          <w:szCs w:val="24"/>
          <w:lang w:val="sr-Cyrl-CS"/>
        </w:rPr>
        <w:t xml:space="preserve">(„Службени гласник БиХ“, бр. 1/97, 29/02, 8/03, 13/03, 14/03, 9/05, 76/06 и 32/07), Управно вијеће Централне банке Босне и Херцеговине, на </w:t>
      </w:r>
      <w:r>
        <w:rPr>
          <w:rFonts w:ascii="Times New Roman" w:hAnsi="Times New Roman"/>
          <w:noProof/>
          <w:color w:val="000000"/>
          <w:szCs w:val="24"/>
          <w:lang w:val="bs-Latn-BA"/>
        </w:rPr>
        <w:t>1.</w:t>
      </w:r>
      <w:r>
        <w:rPr>
          <w:rFonts w:ascii="Times New Roman" w:hAnsi="Times New Roman"/>
          <w:noProof/>
          <w:color w:val="000000"/>
          <w:szCs w:val="24"/>
          <w:lang w:val="sr-Cyrl-CS"/>
        </w:rPr>
        <w:t xml:space="preserve"> сједници одржаној дана </w:t>
      </w:r>
      <w:r>
        <w:rPr>
          <w:rFonts w:ascii="Times New Roman" w:hAnsi="Times New Roman"/>
          <w:noProof/>
          <w:color w:val="000000"/>
          <w:szCs w:val="24"/>
          <w:lang w:val="bs-Latn-BA"/>
        </w:rPr>
        <w:t>29.01.</w:t>
      </w:r>
      <w:r>
        <w:rPr>
          <w:rFonts w:ascii="Times New Roman" w:hAnsi="Times New Roman"/>
          <w:noProof/>
          <w:color w:val="000000"/>
          <w:szCs w:val="24"/>
          <w:lang w:val="sr-Cyrl-CS"/>
        </w:rPr>
        <w:t>202</w:t>
      </w:r>
      <w:r>
        <w:rPr>
          <w:rFonts w:ascii="Times New Roman" w:hAnsi="Times New Roman"/>
          <w:noProof/>
          <w:color w:val="000000"/>
          <w:szCs w:val="24"/>
          <w:lang w:val="bs-Latn-BA"/>
        </w:rPr>
        <w:t>6</w:t>
      </w:r>
      <w:r>
        <w:rPr>
          <w:rFonts w:ascii="Times New Roman" w:hAnsi="Times New Roman"/>
          <w:noProof/>
          <w:color w:val="000000"/>
          <w:szCs w:val="24"/>
          <w:lang w:val="sr-Cyrl-CS"/>
        </w:rPr>
        <w:t>. године, доноси</w:t>
      </w:r>
    </w:p>
    <w:p>
      <w:pPr>
        <w:pStyle w:val="BodyText"/>
        <w:rPr>
          <w:rFonts w:ascii="Times New Roman" w:hAnsi="Times New Roman"/>
          <w:noProof/>
          <w:szCs w:val="24"/>
          <w:lang w:val="sr-Cyrl-CS"/>
        </w:rPr>
      </w:pPr>
    </w:p>
    <w:p>
      <w:pPr>
        <w:pStyle w:val="BodyText"/>
        <w:rPr>
          <w:rFonts w:ascii="Times New Roman" w:hAnsi="Times New Roman"/>
          <w:noProof/>
          <w:szCs w:val="24"/>
          <w:lang w:val="sr-Cyrl-CS"/>
        </w:rPr>
      </w:pPr>
    </w:p>
    <w:p>
      <w:pPr>
        <w:pStyle w:val="BodyText"/>
        <w:jc w:val="center"/>
        <w:rPr>
          <w:rFonts w:ascii="Times New Roman" w:hAnsi="Times New Roman"/>
          <w:b/>
          <w:noProof/>
          <w:spacing w:val="40"/>
          <w:szCs w:val="24"/>
          <w:lang w:val="sr-Cyrl-CS"/>
        </w:rPr>
      </w:pPr>
      <w:r>
        <w:rPr>
          <w:rFonts w:ascii="Times New Roman" w:hAnsi="Times New Roman"/>
          <w:b/>
          <w:noProof/>
          <w:spacing w:val="40"/>
          <w:szCs w:val="24"/>
          <w:lang w:val="sr-Cyrl-CS"/>
        </w:rPr>
        <w:t>ОДЛУКУ</w:t>
      </w:r>
    </w:p>
    <w:p>
      <w:pPr>
        <w:pStyle w:val="BodyText"/>
        <w:jc w:val="center"/>
        <w:rPr>
          <w:rFonts w:ascii="Times New Roman" w:hAnsi="Times New Roman"/>
          <w:b/>
          <w:noProof/>
          <w:szCs w:val="24"/>
          <w:lang w:val="sr-Cyrl-CS"/>
        </w:rPr>
      </w:pPr>
      <w:r>
        <w:rPr>
          <w:rFonts w:ascii="Times New Roman" w:hAnsi="Times New Roman"/>
          <w:b/>
          <w:noProof/>
          <w:szCs w:val="24"/>
          <w:lang w:val="sr-Cyrl-CS"/>
        </w:rPr>
        <w:t>о утврђивању и одржавању обавезних резерви и</w:t>
      </w:r>
    </w:p>
    <w:p>
      <w:pPr>
        <w:pStyle w:val="BodyText"/>
        <w:jc w:val="center"/>
        <w:rPr>
          <w:rFonts w:ascii="Times New Roman" w:hAnsi="Times New Roman"/>
          <w:b/>
          <w:noProof/>
          <w:szCs w:val="24"/>
          <w:lang w:val="sr-Cyrl-CS"/>
        </w:rPr>
      </w:pPr>
      <w:r>
        <w:rPr>
          <w:rFonts w:ascii="Times New Roman" w:hAnsi="Times New Roman"/>
          <w:b/>
          <w:noProof/>
          <w:szCs w:val="24"/>
          <w:lang w:val="sr-Cyrl-CS"/>
        </w:rPr>
        <w:t>утврђивању накнаде на износ резерве</w:t>
      </w:r>
    </w:p>
    <w:p>
      <w:pPr>
        <w:pStyle w:val="BodyText"/>
        <w:jc w:val="center"/>
        <w:rPr>
          <w:rFonts w:ascii="Times New Roman" w:hAnsi="Times New Roman"/>
          <w:b/>
          <w:noProof/>
          <w:szCs w:val="24"/>
          <w:lang w:val="sr-Cyrl-CS"/>
        </w:rPr>
      </w:pPr>
      <w:r>
        <w:rPr>
          <w:rFonts w:ascii="Times New Roman" w:hAnsi="Times New Roman"/>
          <w:b/>
          <w:noProof/>
          <w:szCs w:val="24"/>
          <w:lang w:val="sr-Cyrl-CS"/>
        </w:rPr>
        <w:t>(новелирани текст)</w:t>
      </w:r>
    </w:p>
    <w:p>
      <w:pPr>
        <w:pStyle w:val="BodyText"/>
        <w:jc w:val="center"/>
        <w:rPr>
          <w:rFonts w:ascii="Times New Roman" w:hAnsi="Times New Roman"/>
          <w:noProof/>
          <w:szCs w:val="24"/>
          <w:lang w:val="sr-Cyrl-CS"/>
        </w:rPr>
      </w:pPr>
    </w:p>
    <w:p>
      <w:pPr>
        <w:pStyle w:val="BodyText"/>
        <w:jc w:val="center"/>
        <w:rPr>
          <w:rFonts w:ascii="Times New Roman" w:hAnsi="Times New Roman"/>
          <w:noProof/>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1.</w:t>
      </w:r>
    </w:p>
    <w:p>
      <w:pPr>
        <w:pStyle w:val="BodyText"/>
        <w:jc w:val="both"/>
        <w:rPr>
          <w:rFonts w:ascii="Times New Roman" w:hAnsi="Times New Roman"/>
          <w:noProof/>
          <w:szCs w:val="24"/>
          <w:lang w:val="sr-Cyrl-CS"/>
        </w:rPr>
      </w:pPr>
      <w:r>
        <w:rPr>
          <w:rFonts w:ascii="Times New Roman" w:hAnsi="Times New Roman"/>
          <w:noProof/>
          <w:szCs w:val="24"/>
          <w:lang w:val="sr-Cyrl-CS"/>
        </w:rPr>
        <w:t>Овом одлуком, у складу с чланом 36. Закона о Централној банци Босне и Херцеговине, уређује се начин обрачунавања и држања обавезних резерви и утврђивање накнаде Централне банке Босне и Херцеговине (у даљњем тексту: Централна банка) банкама на износ резерве.</w:t>
      </w:r>
    </w:p>
    <w:p>
      <w:pPr>
        <w:pStyle w:val="BodyText"/>
        <w:jc w:val="both"/>
        <w:rPr>
          <w:rFonts w:ascii="Times New Roman" w:hAnsi="Times New Roman"/>
          <w:b/>
          <w:noProof/>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2.</w:t>
      </w:r>
    </w:p>
    <w:p>
      <w:pPr>
        <w:pStyle w:val="BodyText"/>
        <w:jc w:val="both"/>
        <w:rPr>
          <w:rFonts w:ascii="Times New Roman" w:hAnsi="Times New Roman"/>
          <w:noProof/>
          <w:szCs w:val="24"/>
          <w:u w:val="single"/>
          <w:lang w:val="sr-Cyrl-CS"/>
        </w:rPr>
      </w:pPr>
      <w:r>
        <w:rPr>
          <w:rFonts w:ascii="Times New Roman" w:hAnsi="Times New Roman"/>
          <w:noProof/>
          <w:szCs w:val="24"/>
          <w:lang w:val="sr-Cyrl-CS"/>
        </w:rPr>
        <w:t>Банка која има дозволу надлежне агенције за банкарство за обављање банкарских послова дужна је да на рачуну резерви код Централне банке држи средства ради испуњавања обавезне резерве у нивоу и на начин утврђен овом одлуком.</w:t>
      </w:r>
    </w:p>
    <w:p>
      <w:pPr>
        <w:pStyle w:val="BodyText"/>
        <w:jc w:val="both"/>
        <w:rPr>
          <w:rFonts w:ascii="Times New Roman" w:hAnsi="Times New Roman"/>
          <w:noProof/>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3.</w:t>
      </w:r>
    </w:p>
    <w:p>
      <w:pPr>
        <w:jc w:val="both"/>
        <w:rPr>
          <w:noProof/>
          <w:lang w:val="sr-Cyrl-CS"/>
        </w:rPr>
      </w:pPr>
      <w:r>
        <w:rPr>
          <w:noProof/>
          <w:lang w:val="sr-Cyrl-CS"/>
        </w:rPr>
        <w:t>(1) Основицу за обрачун обавезне резерве чине депозити и позајмљена средства, без обзира на то у којој се валути средства изразе. Основицу у домаћој валути за обрачун обавезне резерве у КМ чине депозити и позајмљена средства у КМ. Девизну основицу за обрачун обавезне резерве у EUR чине депозити и позајмљена средства у КМ с валутном клаузулом и депозити и позајмљена средства у страним валутама.</w:t>
      </w:r>
    </w:p>
    <w:p>
      <w:pPr>
        <w:jc w:val="both"/>
        <w:rPr>
          <w:noProof/>
          <w:lang w:val="sr-Cyrl-CS"/>
        </w:rPr>
      </w:pPr>
      <w:r>
        <w:rPr>
          <w:noProof/>
          <w:lang w:val="sr-Cyrl-CS"/>
        </w:rPr>
        <w:t>(2) Обавезна резерва се обрачунава према стању средстава из става (1) овог члана, изражених према резидуалном року доспијећа, на крају сваког дана када Централна банка врши промјене на рачунима резерви (у даљ</w:t>
      </w:r>
      <w:r>
        <w:rPr>
          <w:noProof/>
          <w:lang w:val="bs-Cyrl-BA"/>
        </w:rPr>
        <w:t>н</w:t>
      </w:r>
      <w:r>
        <w:rPr>
          <w:noProof/>
          <w:lang w:val="sr-Cyrl-CS"/>
        </w:rPr>
        <w:t>ем тексту: радни дан), у току обрачунског периода који претходи периоду одржавања.</w:t>
      </w:r>
    </w:p>
    <w:p>
      <w:pPr>
        <w:pStyle w:val="BodyText"/>
        <w:jc w:val="both"/>
        <w:rPr>
          <w:rFonts w:ascii="Times New Roman" w:hAnsi="Times New Roman"/>
          <w:noProof/>
          <w:szCs w:val="24"/>
          <w:lang w:val="sr-Cyrl-CS"/>
        </w:rPr>
      </w:pPr>
      <w:r>
        <w:rPr>
          <w:rFonts w:ascii="Times New Roman" w:hAnsi="Times New Roman"/>
          <w:noProof/>
          <w:szCs w:val="24"/>
          <w:lang w:val="sr-Cyrl-CS"/>
        </w:rPr>
        <w:t>(3) Обрачунски период (период обрачуна обавезних резерви) започиње сваког мјесеца у дане првог, једанаестог и двадесет и првог, а завршава се десетог, двадесетог и посљедњег дана у мјесецу.</w:t>
      </w:r>
    </w:p>
    <w:p>
      <w:pPr>
        <w:pStyle w:val="BodyText"/>
        <w:jc w:val="both"/>
        <w:rPr>
          <w:rFonts w:ascii="Times New Roman" w:hAnsi="Times New Roman"/>
          <w:noProof/>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4.</w:t>
      </w:r>
    </w:p>
    <w:p>
      <w:pPr>
        <w:pStyle w:val="BodyText"/>
        <w:jc w:val="both"/>
        <w:rPr>
          <w:rFonts w:ascii="Times New Roman" w:hAnsi="Times New Roman"/>
          <w:noProof/>
          <w:szCs w:val="24"/>
          <w:lang w:val="sr-Cyrl-CS"/>
        </w:rPr>
      </w:pPr>
      <w:r>
        <w:rPr>
          <w:rFonts w:ascii="Times New Roman" w:hAnsi="Times New Roman"/>
          <w:noProof/>
          <w:szCs w:val="24"/>
          <w:lang w:val="sr-Cyrl-CS"/>
        </w:rPr>
        <w:t>(1) Банка је обавезна да након сваког обрачунског периода, а најкасније у року од три радна дана по истеку периода обрачуна, достави Централној банци извјештај о стању депозита и позајмљених средстава изражених у конвертибилним маркама и у EUR на обрасцу „Извјештај за обрачун обавезне резерве“, прописаном овом одлуком, који чини њен саставни дио.</w:t>
      </w:r>
    </w:p>
    <w:p>
      <w:pPr>
        <w:pStyle w:val="BodyText"/>
        <w:jc w:val="both"/>
        <w:rPr>
          <w:rFonts w:ascii="Times New Roman" w:hAnsi="Times New Roman"/>
          <w:noProof/>
          <w:szCs w:val="24"/>
          <w:lang w:val="sr-Cyrl-CS"/>
        </w:rPr>
      </w:pPr>
      <w:r>
        <w:rPr>
          <w:rFonts w:ascii="Times New Roman" w:hAnsi="Times New Roman"/>
          <w:noProof/>
          <w:szCs w:val="24"/>
          <w:lang w:val="sr-Cyrl-CS"/>
        </w:rPr>
        <w:t xml:space="preserve">(2) Банка је, поред података које доставља на обрасцу из става (1) овог члана путем е-маила, Централној банци дужна да достави исте податке у истом року и у електронском облику на начин утврђен техничким упутством од стране Централне банке. </w:t>
      </w:r>
    </w:p>
    <w:p>
      <w:pPr>
        <w:pStyle w:val="BodyText"/>
        <w:jc w:val="center"/>
        <w:rPr>
          <w:rFonts w:ascii="Times New Roman" w:hAnsi="Times New Roman"/>
          <w:noProof/>
          <w:szCs w:val="24"/>
          <w:lang w:val="sr-Cyrl-CS"/>
        </w:rPr>
      </w:pPr>
    </w:p>
    <w:p>
      <w:pPr>
        <w:jc w:val="center"/>
        <w:rPr>
          <w:b/>
          <w:noProof/>
          <w:lang w:val="sr-Cyrl-CS"/>
        </w:rPr>
      </w:pPr>
      <w:r>
        <w:rPr>
          <w:b/>
          <w:noProof/>
          <w:lang w:val="sr-Cyrl-CS"/>
        </w:rPr>
        <w:t>Члан 5.</w:t>
      </w:r>
    </w:p>
    <w:p>
      <w:pPr>
        <w:jc w:val="both"/>
        <w:rPr>
          <w:noProof/>
          <w:lang w:val="sr-Cyrl-CS"/>
        </w:rPr>
      </w:pPr>
      <w:r>
        <w:rPr>
          <w:noProof/>
          <w:lang w:val="sr-Cyrl-CS"/>
        </w:rPr>
        <w:t>(1) Обавезна резерва се обрачунава као обавезна резерва у КМ на основицу у домаћој валути и обавезна резерва у EUR на девизну основицу.</w:t>
      </w:r>
    </w:p>
    <w:p>
      <w:pPr>
        <w:jc w:val="both"/>
        <w:rPr>
          <w:noProof/>
          <w:lang w:val="sr-Cyrl-CS"/>
        </w:rPr>
      </w:pPr>
      <w:r>
        <w:rPr>
          <w:noProof/>
          <w:lang w:val="sr-Cyrl-CS"/>
        </w:rPr>
        <w:t>(2) Стопа обавезне резерве коју Централна банка примјењује износи:</w:t>
      </w:r>
    </w:p>
    <w:p>
      <w:pPr>
        <w:numPr>
          <w:ilvl w:val="0"/>
          <w:numId w:val="8"/>
        </w:numPr>
        <w:jc w:val="both"/>
        <w:rPr>
          <w:noProof/>
          <w:lang w:val="sr-Cyrl-CS"/>
        </w:rPr>
      </w:pPr>
      <w:r>
        <w:rPr>
          <w:noProof/>
          <w:lang w:val="sr-Cyrl-CS"/>
        </w:rPr>
        <w:lastRenderedPageBreak/>
        <w:t>10 % на основицу у домаћој валути с резидуалним роком доспијећа до једне године,</w:t>
      </w:r>
    </w:p>
    <w:p>
      <w:pPr>
        <w:ind w:left="720" w:hanging="360"/>
        <w:jc w:val="both"/>
        <w:rPr>
          <w:noProof/>
          <w:lang w:val="sr-Cyrl-CS"/>
        </w:rPr>
      </w:pPr>
      <w:r>
        <w:rPr>
          <w:noProof/>
          <w:lang w:val="sr-Cyrl-CS"/>
        </w:rPr>
        <w:t>б)  10 % на девизну основицу с резидуалним роком доспијећа до једне године,</w:t>
      </w:r>
    </w:p>
    <w:p>
      <w:pPr>
        <w:ind w:left="720" w:hanging="360"/>
        <w:jc w:val="both"/>
        <w:rPr>
          <w:noProof/>
          <w:lang w:val="sr-Cyrl-CS"/>
        </w:rPr>
      </w:pPr>
      <w:r>
        <w:rPr>
          <w:noProof/>
          <w:lang w:val="sr-Cyrl-CS"/>
        </w:rPr>
        <w:t>ц)  10 % на основицу у домаћој валути с резидуалним роком доспијећа преко једне године,</w:t>
      </w:r>
    </w:p>
    <w:p>
      <w:pPr>
        <w:ind w:left="720" w:hanging="360"/>
        <w:jc w:val="both"/>
        <w:rPr>
          <w:noProof/>
          <w:lang w:val="sr-Cyrl-CS"/>
        </w:rPr>
      </w:pPr>
      <w:r>
        <w:rPr>
          <w:noProof/>
          <w:lang w:val="sr-Cyrl-CS"/>
        </w:rPr>
        <w:t>д)  10 % на девизну основицу с резидуалном роком доспијећа преко једне године.</w:t>
      </w:r>
    </w:p>
    <w:p>
      <w:pPr>
        <w:jc w:val="center"/>
        <w:rPr>
          <w:noProof/>
          <w:lang w:val="sr-Cyrl-CS"/>
        </w:rPr>
      </w:pPr>
    </w:p>
    <w:p>
      <w:pPr>
        <w:jc w:val="center"/>
        <w:rPr>
          <w:b/>
          <w:noProof/>
          <w:lang w:val="sr-Cyrl-CS"/>
        </w:rPr>
      </w:pPr>
      <w:r>
        <w:rPr>
          <w:b/>
          <w:noProof/>
          <w:lang w:val="sr-Cyrl-CS"/>
        </w:rPr>
        <w:t>Члан 6.</w:t>
      </w:r>
    </w:p>
    <w:p>
      <w:pPr>
        <w:jc w:val="both"/>
        <w:rPr>
          <w:noProof/>
          <w:lang w:val="sr-Cyrl-CS"/>
        </w:rPr>
      </w:pPr>
      <w:r>
        <w:rPr>
          <w:noProof/>
          <w:lang w:val="sr-Cyrl-CS"/>
        </w:rPr>
        <w:t>Средства којима банка може да одржава обавезне резерве, обрачунате у смислу ове одлуке, су:</w:t>
      </w:r>
    </w:p>
    <w:p>
      <w:pPr>
        <w:numPr>
          <w:ilvl w:val="0"/>
          <w:numId w:val="7"/>
        </w:numPr>
        <w:jc w:val="both"/>
        <w:rPr>
          <w:noProof/>
          <w:lang w:val="sr-Cyrl-CS"/>
        </w:rPr>
      </w:pPr>
      <w:r>
        <w:rPr>
          <w:noProof/>
          <w:lang w:val="sr-Cyrl-CS"/>
        </w:rPr>
        <w:t>за обавезну резерву у КМ потражни салдо средстава те банке на рачуну резерви у КМ код Централне банке, на крају сваког радног дана у периоду одржавања,</w:t>
      </w:r>
    </w:p>
    <w:p>
      <w:pPr>
        <w:ind w:left="720" w:hanging="360"/>
        <w:jc w:val="both"/>
        <w:rPr>
          <w:noProof/>
          <w:lang w:val="sr-Cyrl-CS"/>
        </w:rPr>
      </w:pPr>
      <w:r>
        <w:rPr>
          <w:noProof/>
          <w:lang w:val="sr-Cyrl-CS"/>
        </w:rPr>
        <w:t>б)  за обавезну резерву у EUR потражни салдо средстава те банке на рачуну резерви у EUR код Централне банке, на крају сваког радног дана у периоду одржавања.</w:t>
      </w:r>
    </w:p>
    <w:p>
      <w:pPr>
        <w:ind w:hanging="360"/>
        <w:rPr>
          <w:noProof/>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7.</w:t>
      </w:r>
    </w:p>
    <w:p>
      <w:pPr>
        <w:pStyle w:val="NoSpacing"/>
        <w:numPr>
          <w:ilvl w:val="0"/>
          <w:numId w:val="12"/>
        </w:numPr>
        <w:tabs>
          <w:tab w:val="left" w:pos="284"/>
        </w:tabs>
        <w:ind w:left="0" w:firstLine="0"/>
        <w:jc w:val="both"/>
        <w:rPr>
          <w:rFonts w:ascii="Times New Roman" w:eastAsia="Times New Roman" w:hAnsi="Times New Roman" w:cs="Times New Roman"/>
          <w:noProof/>
          <w:sz w:val="24"/>
          <w:szCs w:val="24"/>
          <w:lang w:val="sr-Cyrl-CS"/>
        </w:rPr>
      </w:pPr>
      <w:r>
        <w:rPr>
          <w:rFonts w:ascii="Times New Roman" w:eastAsia="Times New Roman" w:hAnsi="Times New Roman" w:cs="Times New Roman"/>
          <w:noProof/>
          <w:sz w:val="24"/>
          <w:szCs w:val="24"/>
          <w:lang w:val="sr-Cyrl-CS"/>
        </w:rPr>
        <w:t xml:space="preserve"> Централна банка обрачунава накнаду банци на износ средстава који та банка држи на рачуну резерви у КМ у периоду одржавања:</w:t>
      </w:r>
    </w:p>
    <w:p>
      <w:pPr>
        <w:pStyle w:val="ListParagraph"/>
        <w:numPr>
          <w:ilvl w:val="0"/>
          <w:numId w:val="9"/>
        </w:num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 xml:space="preserve">на средства обавезне резерве у КМ – по стопи </w:t>
      </w:r>
      <w:bookmarkStart w:id="0" w:name="_Hlk117601950"/>
      <w:r>
        <w:rPr>
          <w:rFonts w:ascii="Times New Roman" w:eastAsia="Times New Roman" w:hAnsi="Times New Roman"/>
          <w:noProof/>
          <w:sz w:val="24"/>
          <w:szCs w:val="24"/>
          <w:lang w:val="sr-Cyrl-CS"/>
        </w:rPr>
        <w:t>од 50 базних поена</w:t>
      </w:r>
      <w:r>
        <w:rPr>
          <w:rFonts w:ascii="Times New Roman" w:hAnsi="Times New Roman"/>
          <w:noProof/>
          <w:sz w:val="24"/>
          <w:szCs w:val="24"/>
          <w:lang w:val="sr-Cyrl-CS"/>
        </w:rPr>
        <w:t>,</w:t>
      </w:r>
      <w:bookmarkEnd w:id="0"/>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noProof/>
          <w:sz w:val="24"/>
          <w:szCs w:val="24"/>
          <w:lang w:val="sr-Cyrl-CS"/>
        </w:rPr>
        <w:t xml:space="preserve">б)  на средства изнад обавезне резерве у КМ – по </w:t>
      </w:r>
      <w:r>
        <w:rPr>
          <w:rFonts w:ascii="Times New Roman" w:eastAsia="Times New Roman" w:hAnsi="Times New Roman"/>
          <w:noProof/>
          <w:sz w:val="24"/>
          <w:szCs w:val="24"/>
          <w:lang w:val="sr-Cyrl-CS"/>
        </w:rPr>
        <w:t>нултој стопи.</w:t>
      </w:r>
    </w:p>
    <w:p>
      <w:pPr>
        <w:jc w:val="both"/>
        <w:rPr>
          <w:noProof/>
          <w:lang w:val="sr-Cyrl-CS"/>
        </w:rPr>
      </w:pPr>
      <w:r>
        <w:rPr>
          <w:noProof/>
          <w:lang w:val="sr-Cyrl-CS"/>
        </w:rPr>
        <w:t>(2) Централна банка обрачунава накнаду банци на износ средстава који та банка држи на рачуну резерви у EUR у периоду одржавања:</w:t>
      </w:r>
    </w:p>
    <w:p>
      <w:pPr>
        <w:pStyle w:val="ListParagraph"/>
        <w:numPr>
          <w:ilvl w:val="0"/>
          <w:numId w:val="10"/>
        </w:num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на средства обавезне резерве у EUR – по стопи од 30 базних поена,</w:t>
      </w:r>
    </w:p>
    <w:p>
      <w:pPr>
        <w:pStyle w:val="ListParagraph"/>
        <w:spacing w:after="0" w:line="240" w:lineRule="auto"/>
        <w:ind w:hanging="360"/>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б)   на средства изнад обавезне резерве у EUR – по нултој стопи.</w:t>
      </w:r>
    </w:p>
    <w:p>
      <w:pPr>
        <w:jc w:val="both"/>
        <w:rPr>
          <w:noProof/>
          <w:lang w:val="sr-Cyrl-CS" w:eastAsia="bs-Latn-BA"/>
        </w:rPr>
      </w:pPr>
    </w:p>
    <w:p>
      <w:pPr>
        <w:pStyle w:val="BodyText"/>
        <w:jc w:val="center"/>
        <w:rPr>
          <w:rFonts w:ascii="Times New Roman" w:hAnsi="Times New Roman"/>
          <w:b/>
          <w:bCs/>
          <w:noProof/>
          <w:szCs w:val="24"/>
          <w:lang w:val="sr-Cyrl-CS"/>
        </w:rPr>
      </w:pPr>
      <w:r>
        <w:rPr>
          <w:rFonts w:ascii="Times New Roman" w:hAnsi="Times New Roman"/>
          <w:b/>
          <w:bCs/>
          <w:noProof/>
          <w:szCs w:val="24"/>
          <w:lang w:val="sr-Cyrl-CS"/>
        </w:rPr>
        <w:t>Члан 8.</w:t>
      </w:r>
    </w:p>
    <w:p>
      <w:pPr>
        <w:pStyle w:val="BodyText"/>
        <w:jc w:val="both"/>
        <w:rPr>
          <w:rFonts w:ascii="Times New Roman" w:hAnsi="Times New Roman"/>
          <w:noProof/>
          <w:color w:val="000000"/>
          <w:szCs w:val="24"/>
          <w:lang w:val="sr-Cyrl-CS"/>
        </w:rPr>
      </w:pPr>
      <w:r>
        <w:rPr>
          <w:rFonts w:ascii="Times New Roman" w:hAnsi="Times New Roman"/>
          <w:noProof/>
          <w:szCs w:val="24"/>
          <w:lang w:val="sr-Cyrl-CS"/>
        </w:rPr>
        <w:t xml:space="preserve">Централна банка за износ накнаде из члана 7. ове одлуке врши промјене стања на рачуну резерви у КМ и рачуну резерви у EUR банке </w:t>
      </w:r>
      <w:r>
        <w:rPr>
          <w:rFonts w:ascii="Times New Roman" w:hAnsi="Times New Roman"/>
          <w:noProof/>
          <w:color w:val="000000"/>
          <w:szCs w:val="24"/>
          <w:lang w:val="sr-Cyrl-CS"/>
        </w:rPr>
        <w:t xml:space="preserve">у року до пет дана, </w:t>
      </w:r>
      <w:r>
        <w:rPr>
          <w:rFonts w:ascii="Times New Roman" w:hAnsi="Times New Roman"/>
          <w:noProof/>
          <w:szCs w:val="24"/>
          <w:lang w:val="sr-Cyrl-CS"/>
        </w:rPr>
        <w:t>рачунајући од посљедњег дана у мјесецу у којем се банци током периода одржавања обавезне резерве обрачунавала накнада</w:t>
      </w:r>
      <w:r>
        <w:rPr>
          <w:rFonts w:ascii="Times New Roman" w:hAnsi="Times New Roman"/>
          <w:noProof/>
          <w:color w:val="000000"/>
          <w:szCs w:val="24"/>
          <w:lang w:val="sr-Cyrl-CS"/>
        </w:rPr>
        <w:t>.</w:t>
      </w:r>
    </w:p>
    <w:p>
      <w:pPr>
        <w:pStyle w:val="BodyText"/>
        <w:jc w:val="both"/>
        <w:rPr>
          <w:rFonts w:ascii="Times New Roman" w:hAnsi="Times New Roman"/>
          <w:noProof/>
          <w:color w:val="000000"/>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9.</w:t>
      </w:r>
    </w:p>
    <w:p>
      <w:pPr>
        <w:jc w:val="both"/>
        <w:rPr>
          <w:noProof/>
          <w:lang w:val="sr-Cyrl-CS"/>
        </w:rPr>
      </w:pPr>
      <w:r>
        <w:rPr>
          <w:noProof/>
          <w:lang w:val="sr-Cyrl-CS"/>
        </w:rPr>
        <w:t>Банка није испунила обавезну резерву:</w:t>
      </w:r>
    </w:p>
    <w:p>
      <w:pPr>
        <w:pStyle w:val="ListParagraph"/>
        <w:numPr>
          <w:ilvl w:val="0"/>
          <w:numId w:val="13"/>
        </w:numPr>
        <w:spacing w:after="0" w:line="240" w:lineRule="auto"/>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уколико у периоду одржавања обавезне резерве у КМ не обезбиједи укупна средства на рачуну резерви у КМ, или</w:t>
      </w:r>
    </w:p>
    <w:p>
      <w:pPr>
        <w:pStyle w:val="ListParagraph"/>
        <w:spacing w:after="0" w:line="240" w:lineRule="auto"/>
        <w:ind w:hanging="360"/>
        <w:jc w:val="both"/>
        <w:rPr>
          <w:rFonts w:ascii="Times New Roman" w:eastAsia="Times New Roman" w:hAnsi="Times New Roman"/>
          <w:noProof/>
          <w:sz w:val="24"/>
          <w:szCs w:val="24"/>
          <w:lang w:val="sr-Cyrl-CS"/>
        </w:rPr>
      </w:pPr>
      <w:r>
        <w:rPr>
          <w:rFonts w:ascii="Times New Roman" w:eastAsia="Times New Roman" w:hAnsi="Times New Roman"/>
          <w:noProof/>
          <w:sz w:val="24"/>
          <w:szCs w:val="24"/>
          <w:lang w:val="sr-Cyrl-CS"/>
        </w:rPr>
        <w:t>б)  уколико у периоду одржавања обавезне резерве у EUR не обезбиједи укупна средства на рачуну резерви у EUR, или</w:t>
      </w:r>
    </w:p>
    <w:p>
      <w:pPr>
        <w:pStyle w:val="ListParagraph"/>
        <w:spacing w:after="0" w:line="240" w:lineRule="auto"/>
        <w:ind w:hanging="360"/>
        <w:jc w:val="both"/>
        <w:rPr>
          <w:rFonts w:ascii="Times New Roman" w:hAnsi="Times New Roman"/>
          <w:noProof/>
          <w:sz w:val="24"/>
          <w:szCs w:val="24"/>
          <w:lang w:val="sr-Cyrl-CS"/>
        </w:rPr>
      </w:pPr>
      <w:r>
        <w:rPr>
          <w:rFonts w:ascii="Times New Roman" w:eastAsia="Times New Roman" w:hAnsi="Times New Roman"/>
          <w:noProof/>
          <w:sz w:val="24"/>
          <w:szCs w:val="24"/>
          <w:lang w:val="sr-Cyrl-CS"/>
        </w:rPr>
        <w:t xml:space="preserve">ц)  у цијелости ако Централној банци благовремено не достави правилно и потпуно попуњен прописани образац Извјештаја за обрачун обавезне резерве и податке у електронском облику, у складу с чланом 4. ове одлуке. </w:t>
      </w:r>
    </w:p>
    <w:p>
      <w:pPr>
        <w:pStyle w:val="BodyText"/>
        <w:jc w:val="both"/>
        <w:rPr>
          <w:rFonts w:ascii="Times New Roman" w:hAnsi="Times New Roman"/>
          <w:noProof/>
          <w:color w:val="000000"/>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10.</w:t>
      </w:r>
    </w:p>
    <w:p>
      <w:pPr>
        <w:pStyle w:val="BodyText"/>
        <w:jc w:val="both"/>
        <w:rPr>
          <w:rFonts w:ascii="Times New Roman" w:hAnsi="Times New Roman"/>
          <w:noProof/>
          <w:szCs w:val="24"/>
          <w:lang w:val="sr-Cyrl-CS"/>
        </w:rPr>
      </w:pPr>
      <w:r>
        <w:rPr>
          <w:rFonts w:ascii="Times New Roman" w:hAnsi="Times New Roman"/>
          <w:noProof/>
          <w:szCs w:val="24"/>
          <w:lang w:val="sr-Cyrl-CS"/>
        </w:rPr>
        <w:t>(1) Гувернер Централне банке је обавезан да најмање једанпут квартално подноси Управном одбору извјештај о примјени ове одлуке.</w:t>
      </w:r>
    </w:p>
    <w:p>
      <w:pPr>
        <w:pStyle w:val="BodyText"/>
        <w:jc w:val="both"/>
        <w:rPr>
          <w:rFonts w:ascii="Times New Roman" w:hAnsi="Times New Roman"/>
          <w:noProof/>
          <w:szCs w:val="24"/>
          <w:lang w:val="sr-Cyrl-CS"/>
        </w:rPr>
      </w:pPr>
      <w:r>
        <w:rPr>
          <w:rFonts w:ascii="Times New Roman" w:hAnsi="Times New Roman"/>
          <w:noProof/>
          <w:szCs w:val="24"/>
          <w:lang w:val="sr-Cyrl-CS"/>
        </w:rPr>
        <w:t>(2) Када банка не испуни обавезну резерву, Централна банка предузима мјере прописане чланом 36. тачком 5. Закона о Централној банци Босне и Херцеговине.</w:t>
      </w:r>
    </w:p>
    <w:p>
      <w:pPr>
        <w:pStyle w:val="BodyText"/>
        <w:jc w:val="both"/>
        <w:rPr>
          <w:rFonts w:ascii="Times New Roman" w:hAnsi="Times New Roman"/>
          <w:noProof/>
          <w:szCs w:val="24"/>
          <w:lang w:val="sr-Cyrl-CS"/>
        </w:rPr>
      </w:pPr>
    </w:p>
    <w:p>
      <w:pPr>
        <w:pStyle w:val="BodyText"/>
        <w:jc w:val="center"/>
        <w:rPr>
          <w:rFonts w:ascii="Times New Roman" w:hAnsi="Times New Roman"/>
          <w:b/>
          <w:noProof/>
          <w:szCs w:val="24"/>
          <w:lang w:val="sr-Cyrl-CS"/>
        </w:rPr>
      </w:pPr>
      <w:r>
        <w:rPr>
          <w:rFonts w:ascii="Times New Roman" w:hAnsi="Times New Roman"/>
          <w:b/>
          <w:noProof/>
          <w:szCs w:val="24"/>
          <w:lang w:val="sr-Cyrl-CS"/>
        </w:rPr>
        <w:t>Члан 11.</w:t>
      </w:r>
    </w:p>
    <w:p>
      <w:pPr>
        <w:pStyle w:val="BodyText"/>
        <w:jc w:val="both"/>
        <w:rPr>
          <w:rFonts w:ascii="Times New Roman" w:hAnsi="Times New Roman"/>
          <w:noProof/>
          <w:szCs w:val="24"/>
          <w:lang w:val="sr-Cyrl-CS"/>
        </w:rPr>
      </w:pPr>
      <w:r>
        <w:rPr>
          <w:rFonts w:ascii="Times New Roman" w:hAnsi="Times New Roman"/>
          <w:noProof/>
          <w:szCs w:val="24"/>
          <w:lang w:val="sr-Cyrl-CS"/>
        </w:rPr>
        <w:t>У смислу ове одлуке значење појединих појмова је како слиједи:</w:t>
      </w:r>
    </w:p>
    <w:p>
      <w:pPr>
        <w:pStyle w:val="ListParagraph"/>
        <w:numPr>
          <w:ilvl w:val="0"/>
          <w:numId w:val="2"/>
        </w:numPr>
        <w:spacing w:after="0" w:line="240" w:lineRule="auto"/>
        <w:jc w:val="both"/>
        <w:rPr>
          <w:rFonts w:ascii="Times New Roman" w:hAnsi="Times New Roman"/>
          <w:noProof/>
          <w:sz w:val="24"/>
          <w:szCs w:val="24"/>
          <w:lang w:val="sr-Cyrl-CS"/>
        </w:rPr>
      </w:pPr>
      <w:r>
        <w:rPr>
          <w:rFonts w:ascii="Times New Roman" w:hAnsi="Times New Roman"/>
          <w:b/>
          <w:noProof/>
          <w:sz w:val="24"/>
          <w:szCs w:val="24"/>
          <w:lang w:val="sr-Cyrl-CS"/>
        </w:rPr>
        <w:t>банка</w:t>
      </w:r>
      <w:r>
        <w:rPr>
          <w:rFonts w:ascii="Times New Roman" w:hAnsi="Times New Roman"/>
          <w:noProof/>
          <w:sz w:val="24"/>
          <w:szCs w:val="24"/>
          <w:lang w:val="sr-Cyrl-CS"/>
        </w:rPr>
        <w:t xml:space="preserve"> – комерцијална банка која има дозволу за рад од Агенције за банкарство Федерације Босне и Херцеговине или Агенције за банкарство Републике Српске,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lastRenderedPageBreak/>
        <w:t>б)</w:t>
      </w:r>
      <w:r>
        <w:rPr>
          <w:rFonts w:ascii="Times New Roman" w:hAnsi="Times New Roman"/>
          <w:b/>
          <w:noProof/>
          <w:sz w:val="24"/>
          <w:szCs w:val="24"/>
          <w:lang w:val="sr-Cyrl-CS"/>
        </w:rPr>
        <w:t xml:space="preserve">  рачун резерви у КМ</w:t>
      </w:r>
      <w:r>
        <w:rPr>
          <w:rFonts w:ascii="Times New Roman" w:hAnsi="Times New Roman"/>
          <w:noProof/>
          <w:sz w:val="24"/>
          <w:szCs w:val="24"/>
          <w:lang w:val="sr-Cyrl-CS"/>
        </w:rPr>
        <w:t xml:space="preserve"> – рачун код Централне банке на којем банка држи средства резерви у КМ ради испуњења обавезне резерве,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ц)</w:t>
      </w:r>
      <w:r>
        <w:rPr>
          <w:rFonts w:ascii="Times New Roman" w:hAnsi="Times New Roman"/>
          <w:b/>
          <w:noProof/>
          <w:sz w:val="24"/>
          <w:szCs w:val="24"/>
          <w:lang w:val="sr-Cyrl-CS"/>
        </w:rPr>
        <w:t xml:space="preserve">  рачун резерви у EUR</w:t>
      </w:r>
      <w:r>
        <w:rPr>
          <w:rFonts w:ascii="Times New Roman" w:hAnsi="Times New Roman"/>
          <w:noProof/>
          <w:sz w:val="24"/>
          <w:szCs w:val="24"/>
          <w:lang w:val="sr-Cyrl-CS"/>
        </w:rPr>
        <w:t xml:space="preserve"> – рачун код Централне банке на којем банка држи средства резерви у EUR ради испуњења обавезне резерве,</w:t>
      </w:r>
    </w:p>
    <w:p>
      <w:pPr>
        <w:pStyle w:val="ListParagraph"/>
        <w:spacing w:after="0" w:line="240" w:lineRule="auto"/>
        <w:ind w:hanging="360"/>
        <w:jc w:val="both"/>
        <w:rPr>
          <w:rFonts w:ascii="Times New Roman" w:hAnsi="Times New Roman"/>
          <w:bCs/>
          <w:noProof/>
          <w:sz w:val="24"/>
          <w:szCs w:val="24"/>
          <w:lang w:val="sr-Cyrl-CS"/>
        </w:rPr>
      </w:pPr>
      <w:r>
        <w:rPr>
          <w:rFonts w:ascii="Times New Roman" w:hAnsi="Times New Roman"/>
          <w:bCs/>
          <w:noProof/>
          <w:sz w:val="24"/>
          <w:szCs w:val="24"/>
          <w:lang w:val="sr-Cyrl-CS"/>
        </w:rPr>
        <w:t>д)</w:t>
      </w:r>
      <w:r>
        <w:rPr>
          <w:rFonts w:ascii="Times New Roman" w:hAnsi="Times New Roman"/>
          <w:b/>
          <w:noProof/>
          <w:sz w:val="24"/>
          <w:szCs w:val="24"/>
          <w:lang w:val="sr-Cyrl-CS"/>
        </w:rPr>
        <w:t xml:space="preserve">  основица за обрачун обавезних резерви</w:t>
      </w:r>
      <w:r>
        <w:rPr>
          <w:rFonts w:ascii="Times New Roman" w:hAnsi="Times New Roman"/>
          <w:noProof/>
          <w:sz w:val="24"/>
          <w:szCs w:val="24"/>
          <w:lang w:val="sr-Cyrl-CS"/>
        </w:rPr>
        <w:t xml:space="preserve"> – просјек депозита банке и позајмљених средстава банке без обзира на валуту у којој су средства изражена, према извјештају који банка доставља Централној банци на прописаном обрасцу у складу с чланом 4. ове одлуке, а на које се обрачунава обавеза. Основицу за обрачун обавезне резерве чине основица у домаћој валути, КМ и девизна основица. Девизну основицу чине основица у КМ с валутном клаузулом и основица у страним валутама,</w:t>
      </w:r>
    </w:p>
    <w:p>
      <w:pPr>
        <w:pStyle w:val="ListParagraph"/>
        <w:spacing w:after="0" w:line="240" w:lineRule="auto"/>
        <w:ind w:hanging="360"/>
        <w:jc w:val="both"/>
        <w:rPr>
          <w:rFonts w:ascii="Times New Roman" w:hAnsi="Times New Roman"/>
          <w:b/>
          <w:noProof/>
          <w:sz w:val="24"/>
          <w:szCs w:val="24"/>
          <w:lang w:val="sr-Cyrl-CS"/>
        </w:rPr>
      </w:pPr>
      <w:r>
        <w:rPr>
          <w:rFonts w:ascii="Times New Roman" w:hAnsi="Times New Roman"/>
          <w:bCs/>
          <w:noProof/>
          <w:sz w:val="24"/>
          <w:szCs w:val="24"/>
          <w:lang w:val="sr-Cyrl-CS"/>
        </w:rPr>
        <w:t>е)</w:t>
      </w:r>
      <w:r>
        <w:rPr>
          <w:rFonts w:ascii="Times New Roman" w:hAnsi="Times New Roman"/>
          <w:b/>
          <w:noProof/>
          <w:sz w:val="24"/>
          <w:szCs w:val="24"/>
          <w:lang w:val="sr-Cyrl-CS"/>
        </w:rPr>
        <w:t xml:space="preserve"> просјечно стање – просјек </w:t>
      </w:r>
      <w:r>
        <w:rPr>
          <w:rFonts w:ascii="Times New Roman" w:hAnsi="Times New Roman"/>
          <w:noProof/>
          <w:sz w:val="24"/>
          <w:szCs w:val="24"/>
          <w:lang w:val="sr-Cyrl-CS"/>
        </w:rPr>
        <w:t xml:space="preserve">– </w:t>
      </w:r>
      <w:r>
        <w:rPr>
          <w:rFonts w:ascii="Times New Roman" w:hAnsi="Times New Roman"/>
          <w:bCs/>
          <w:noProof/>
          <w:sz w:val="24"/>
          <w:szCs w:val="24"/>
          <w:lang w:val="sr-Cyrl-CS"/>
        </w:rPr>
        <w:t>збир књиговодствених стања депозита и позајмљених</w:t>
      </w:r>
      <w:r>
        <w:rPr>
          <w:rFonts w:ascii="Times New Roman" w:hAnsi="Times New Roman"/>
          <w:b/>
          <w:noProof/>
          <w:sz w:val="24"/>
          <w:szCs w:val="24"/>
          <w:lang w:val="sr-Cyrl-CS"/>
        </w:rPr>
        <w:t xml:space="preserve"> </w:t>
      </w:r>
      <w:r>
        <w:rPr>
          <w:rFonts w:ascii="Times New Roman" w:hAnsi="Times New Roman"/>
          <w:bCs/>
          <w:noProof/>
          <w:sz w:val="24"/>
          <w:szCs w:val="24"/>
          <w:lang w:val="sr-Cyrl-CS"/>
        </w:rPr>
        <w:t>средстава према извјештају за обрачун обавезне резерве, за сваки радни дан подијељен с бројем радних дана у периоду обрачуна,</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ф)</w:t>
      </w:r>
      <w:r>
        <w:rPr>
          <w:rFonts w:ascii="Times New Roman" w:hAnsi="Times New Roman"/>
          <w:b/>
          <w:noProof/>
          <w:sz w:val="24"/>
          <w:szCs w:val="24"/>
          <w:lang w:val="sr-Cyrl-CS"/>
        </w:rPr>
        <w:t xml:space="preserve"> обавезна резерва у КМ</w:t>
      </w:r>
      <w:r>
        <w:rPr>
          <w:rFonts w:ascii="Times New Roman" w:hAnsi="Times New Roman"/>
          <w:noProof/>
          <w:sz w:val="24"/>
          <w:szCs w:val="24"/>
          <w:lang w:val="sr-Cyrl-CS"/>
        </w:rPr>
        <w:t xml:space="preserve"> банке израчунава се множењем основице за обрачун обавезне резерве у домаћој валути с одговарајућом стопом обавезне резерве и представља минималан износ средстава које банка мора као просјечне дневне резерве у периоду одржавања држати на рачуну резерви у КМ код Централне банке,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г)</w:t>
      </w:r>
      <w:r>
        <w:rPr>
          <w:rFonts w:ascii="Times New Roman" w:hAnsi="Times New Roman"/>
          <w:b/>
          <w:noProof/>
          <w:sz w:val="24"/>
          <w:szCs w:val="24"/>
          <w:lang w:val="sr-Cyrl-CS"/>
        </w:rPr>
        <w:t xml:space="preserve"> обавезна резерва у EUR</w:t>
      </w:r>
      <w:r>
        <w:rPr>
          <w:rFonts w:ascii="Times New Roman" w:hAnsi="Times New Roman"/>
          <w:noProof/>
          <w:sz w:val="24"/>
          <w:szCs w:val="24"/>
          <w:lang w:val="sr-Cyrl-CS"/>
        </w:rPr>
        <w:t xml:space="preserve"> банке израчунава се множењем девизне основице за обрачун обавезне резерве с одговарајућом стопом обавезне резерве и представља минималан износ средстава које банка мора као просјечне дневне резерве у периоду одржавања држати на рачуну резерви у EUR код Централне банке,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х)</w:t>
      </w:r>
      <w:r>
        <w:rPr>
          <w:rFonts w:ascii="Times New Roman" w:hAnsi="Times New Roman"/>
          <w:b/>
          <w:noProof/>
          <w:sz w:val="24"/>
          <w:szCs w:val="24"/>
          <w:lang w:val="sr-Cyrl-CS"/>
        </w:rPr>
        <w:t xml:space="preserve"> одржавање обавезне резерве</w:t>
      </w:r>
      <w:r>
        <w:rPr>
          <w:rFonts w:ascii="Times New Roman" w:hAnsi="Times New Roman"/>
          <w:noProof/>
          <w:sz w:val="24"/>
          <w:szCs w:val="24"/>
          <w:lang w:val="sr-Cyrl-CS"/>
        </w:rPr>
        <w:t xml:space="preserve"> – држање прописаног нивоа новчаних депозита на рачуну резерви у КМ и на рачуну резерви у EUR код Централне банке, а који се обрачунавају као просјечне дневне резерве у обрачунском периоду,</w:t>
      </w:r>
    </w:p>
    <w:p>
      <w:pPr>
        <w:pStyle w:val="ListParagraph"/>
        <w:spacing w:after="0" w:line="240" w:lineRule="auto"/>
        <w:ind w:hanging="360"/>
        <w:jc w:val="both"/>
        <w:rPr>
          <w:rFonts w:ascii="Times New Roman" w:hAnsi="Times New Roman"/>
          <w:bCs/>
          <w:noProof/>
          <w:sz w:val="24"/>
          <w:szCs w:val="24"/>
          <w:lang w:val="sr-Cyrl-CS"/>
        </w:rPr>
      </w:pPr>
      <w:r>
        <w:rPr>
          <w:rFonts w:ascii="Times New Roman" w:hAnsi="Times New Roman"/>
          <w:bCs/>
          <w:noProof/>
          <w:sz w:val="24"/>
          <w:szCs w:val="24"/>
          <w:lang w:val="sr-Cyrl-CS"/>
        </w:rPr>
        <w:t>и)</w:t>
      </w:r>
      <w:r>
        <w:rPr>
          <w:rFonts w:ascii="Times New Roman" w:hAnsi="Times New Roman"/>
          <w:b/>
          <w:noProof/>
          <w:sz w:val="24"/>
          <w:szCs w:val="24"/>
          <w:lang w:val="sr-Cyrl-CS"/>
        </w:rPr>
        <w:t xml:space="preserve"> испуњавање обавезне резерве</w:t>
      </w:r>
      <w:r>
        <w:rPr>
          <w:rFonts w:ascii="Times New Roman" w:hAnsi="Times New Roman"/>
          <w:noProof/>
          <w:sz w:val="24"/>
          <w:szCs w:val="24"/>
          <w:lang w:val="sr-Cyrl-CS"/>
        </w:rPr>
        <w:t xml:space="preserve"> – испуњавање свих услова које је поставила Централна банка за одржавање обавезне резерве у погледу обезбјеђења захтијеваног износа средстава резерви, достављања прописаних извјештаја у прописаним роковима</w:t>
      </w:r>
      <w:r>
        <w:rPr>
          <w:rFonts w:ascii="Times New Roman" w:hAnsi="Times New Roman"/>
          <w:bCs/>
          <w:noProof/>
          <w:sz w:val="24"/>
          <w:szCs w:val="24"/>
          <w:lang w:val="sr-Cyrl-CS"/>
        </w:rPr>
        <w:t>,</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ј)</w:t>
      </w:r>
      <w:r>
        <w:rPr>
          <w:rFonts w:ascii="Times New Roman" w:hAnsi="Times New Roman"/>
          <w:b/>
          <w:noProof/>
          <w:sz w:val="24"/>
          <w:szCs w:val="24"/>
          <w:lang w:val="sr-Cyrl-CS"/>
        </w:rPr>
        <w:t xml:space="preserve">    стопа обавезне резерве </w:t>
      </w:r>
      <w:r>
        <w:rPr>
          <w:rFonts w:ascii="Times New Roman" w:hAnsi="Times New Roman"/>
          <w:noProof/>
          <w:sz w:val="24"/>
          <w:szCs w:val="24"/>
          <w:lang w:val="sr-Cyrl-CS"/>
        </w:rPr>
        <w:t xml:space="preserve">– </w:t>
      </w:r>
      <w:r>
        <w:rPr>
          <w:rFonts w:ascii="Times New Roman" w:hAnsi="Times New Roman"/>
          <w:bCs/>
          <w:noProof/>
          <w:sz w:val="24"/>
          <w:szCs w:val="24"/>
          <w:lang w:val="sr-Cyrl-CS"/>
        </w:rPr>
        <w:t xml:space="preserve">проценат који се примјењује на основицу за утврђивање </w:t>
      </w:r>
      <w:r>
        <w:rPr>
          <w:rFonts w:ascii="Times New Roman" w:hAnsi="Times New Roman"/>
          <w:noProof/>
          <w:sz w:val="24"/>
          <w:szCs w:val="24"/>
          <w:lang w:val="sr-Cyrl-CS"/>
        </w:rPr>
        <w:t>и</w:t>
      </w:r>
      <w:r>
        <w:rPr>
          <w:rFonts w:ascii="Times New Roman" w:hAnsi="Times New Roman"/>
          <w:bCs/>
          <w:noProof/>
          <w:sz w:val="24"/>
          <w:szCs w:val="24"/>
          <w:lang w:val="sr-Cyrl-CS"/>
        </w:rPr>
        <w:t>зноса обавезне резерве,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к)</w:t>
      </w:r>
      <w:r>
        <w:rPr>
          <w:rFonts w:ascii="Times New Roman" w:hAnsi="Times New Roman"/>
          <w:b/>
          <w:noProof/>
          <w:sz w:val="24"/>
          <w:szCs w:val="24"/>
          <w:lang w:val="sr-Cyrl-CS"/>
        </w:rPr>
        <w:t xml:space="preserve">  период обрачуна обавезних резерви</w:t>
      </w:r>
      <w:r>
        <w:rPr>
          <w:rFonts w:ascii="Times New Roman" w:hAnsi="Times New Roman"/>
          <w:noProof/>
          <w:sz w:val="24"/>
          <w:szCs w:val="24"/>
          <w:lang w:val="sr-Cyrl-CS"/>
        </w:rPr>
        <w:t xml:space="preserve"> – период одржавања обавезних резерви који претходи одржавању обавезних резерви, за који се достављају подаци о основици за утврђивање обавезне резерве,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л)</w:t>
      </w:r>
      <w:r>
        <w:rPr>
          <w:rFonts w:ascii="Times New Roman" w:hAnsi="Times New Roman"/>
          <w:b/>
          <w:noProof/>
          <w:sz w:val="24"/>
          <w:szCs w:val="24"/>
          <w:lang w:val="sr-Cyrl-CS"/>
        </w:rPr>
        <w:t xml:space="preserve">  период одржавања обавезне резерве </w:t>
      </w:r>
      <w:r>
        <w:rPr>
          <w:rFonts w:ascii="Times New Roman" w:hAnsi="Times New Roman"/>
          <w:noProof/>
          <w:sz w:val="24"/>
          <w:szCs w:val="24"/>
          <w:lang w:val="sr-Cyrl-CS"/>
        </w:rPr>
        <w:t>– период у којем је банка дужна да одржава обавезну резерву, а који започиње сваког мјесеца у дане првог, једанаестог и двадесет и првог, а завршава се десетог, двадесетог и посљедњег дана у мјесецу,</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м)</w:t>
      </w:r>
      <w:r>
        <w:rPr>
          <w:rFonts w:ascii="Times New Roman" w:hAnsi="Times New Roman"/>
          <w:b/>
          <w:noProof/>
          <w:sz w:val="24"/>
          <w:szCs w:val="24"/>
          <w:lang w:val="sr-Cyrl-CS"/>
        </w:rPr>
        <w:t xml:space="preserve">  накнада</w:t>
      </w:r>
      <w:r>
        <w:rPr>
          <w:rFonts w:ascii="Times New Roman" w:hAnsi="Times New Roman"/>
          <w:noProof/>
          <w:sz w:val="24"/>
          <w:szCs w:val="24"/>
          <w:lang w:val="sr-Cyrl-CS"/>
        </w:rPr>
        <w:t xml:space="preserve"> – камата коју Централна банка обрачунава на износ средстава те банке на рачуну резерви у КМ и рачуну резерви у EUR, код Централне банке,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н)</w:t>
      </w:r>
      <w:r>
        <w:rPr>
          <w:rFonts w:ascii="Times New Roman" w:hAnsi="Times New Roman"/>
          <w:b/>
          <w:noProof/>
          <w:sz w:val="24"/>
          <w:szCs w:val="24"/>
          <w:lang w:val="sr-Cyrl-CS"/>
        </w:rPr>
        <w:t xml:space="preserve">   стопа накнаде </w:t>
      </w:r>
      <w:r>
        <w:rPr>
          <w:rFonts w:ascii="Times New Roman" w:hAnsi="Times New Roman"/>
          <w:noProof/>
          <w:sz w:val="24"/>
          <w:szCs w:val="24"/>
          <w:lang w:val="sr-Cyrl-CS"/>
        </w:rPr>
        <w:t>–</w:t>
      </w:r>
      <w:r>
        <w:rPr>
          <w:rFonts w:ascii="Times New Roman" w:hAnsi="Times New Roman"/>
          <w:b/>
          <w:noProof/>
          <w:sz w:val="24"/>
          <w:szCs w:val="24"/>
          <w:lang w:val="sr-Cyrl-CS"/>
        </w:rPr>
        <w:t xml:space="preserve"> </w:t>
      </w:r>
      <w:r>
        <w:rPr>
          <w:rFonts w:ascii="Times New Roman" w:hAnsi="Times New Roman"/>
          <w:noProof/>
          <w:sz w:val="24"/>
          <w:szCs w:val="24"/>
          <w:lang w:val="sr-Cyrl-CS"/>
        </w:rPr>
        <w:t>стопа која се примјењује на обавезну резерву, односно на износ средстава изнад обавезне резерве,</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о)</w:t>
      </w:r>
      <w:r>
        <w:rPr>
          <w:rFonts w:ascii="Times New Roman" w:hAnsi="Times New Roman"/>
          <w:b/>
          <w:noProof/>
          <w:sz w:val="24"/>
          <w:szCs w:val="24"/>
          <w:lang w:val="sr-Cyrl-CS"/>
        </w:rPr>
        <w:t xml:space="preserve">  казнена камата за неодржавање обавезних резерви</w:t>
      </w:r>
      <w:r>
        <w:rPr>
          <w:rFonts w:ascii="Times New Roman" w:hAnsi="Times New Roman"/>
          <w:noProof/>
          <w:sz w:val="24"/>
          <w:szCs w:val="24"/>
          <w:lang w:val="sr-Cyrl-CS"/>
        </w:rPr>
        <w:t xml:space="preserve"> – новчана казна за банку која не одржава обавезне резерве на прописаном нивоу,</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п)</w:t>
      </w:r>
      <w:r>
        <w:rPr>
          <w:rFonts w:ascii="Times New Roman" w:hAnsi="Times New Roman"/>
          <w:b/>
          <w:noProof/>
          <w:sz w:val="24"/>
          <w:szCs w:val="24"/>
          <w:lang w:val="sr-Cyrl-CS"/>
        </w:rPr>
        <w:t xml:space="preserve"> радни дан</w:t>
      </w:r>
      <w:r>
        <w:rPr>
          <w:rFonts w:ascii="Times New Roman" w:hAnsi="Times New Roman"/>
          <w:noProof/>
          <w:sz w:val="24"/>
          <w:szCs w:val="24"/>
          <w:lang w:val="sr-Cyrl-CS"/>
        </w:rPr>
        <w:t xml:space="preserve"> – сваки дан када Централна банка врши трансакције на рачунима резерви,</w:t>
      </w:r>
    </w:p>
    <w:p>
      <w:pPr>
        <w:pStyle w:val="ListParagraph"/>
        <w:ind w:hanging="360"/>
        <w:jc w:val="both"/>
        <w:rPr>
          <w:rFonts w:ascii="Times New Roman" w:hAnsi="Times New Roman"/>
          <w:noProof/>
          <w:sz w:val="24"/>
          <w:szCs w:val="24"/>
          <w:lang w:val="sr-Cyrl-CS"/>
        </w:rPr>
      </w:pPr>
      <w:r>
        <w:rPr>
          <w:rFonts w:ascii="Times New Roman" w:hAnsi="Times New Roman"/>
          <w:bCs/>
          <w:noProof/>
          <w:sz w:val="24"/>
          <w:szCs w:val="24"/>
          <w:lang w:val="sr-Cyrl-CS"/>
        </w:rPr>
        <w:t>р)</w:t>
      </w:r>
      <w:r>
        <w:rPr>
          <w:rFonts w:ascii="Times New Roman" w:hAnsi="Times New Roman"/>
          <w:b/>
          <w:noProof/>
          <w:sz w:val="24"/>
          <w:szCs w:val="24"/>
          <w:lang w:val="sr-Cyrl-CS"/>
        </w:rPr>
        <w:t xml:space="preserve"> укупна обавезна резерва у КМ</w:t>
      </w:r>
      <w:r>
        <w:rPr>
          <w:rFonts w:ascii="Times New Roman" w:hAnsi="Times New Roman"/>
          <w:noProof/>
          <w:sz w:val="24"/>
          <w:szCs w:val="24"/>
          <w:lang w:val="sr-Cyrl-CS"/>
        </w:rPr>
        <w:t xml:space="preserve"> банке представља збир просјечних дневних обавезних резерви у КМ за радне дане у току периода одржавања,</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с)</w:t>
      </w:r>
      <w:r>
        <w:rPr>
          <w:rFonts w:ascii="Times New Roman" w:hAnsi="Times New Roman"/>
          <w:b/>
          <w:noProof/>
          <w:sz w:val="24"/>
          <w:szCs w:val="24"/>
          <w:lang w:val="sr-Cyrl-CS"/>
        </w:rPr>
        <w:t xml:space="preserve">  укупна обавезна резерва у EUR</w:t>
      </w:r>
      <w:r>
        <w:rPr>
          <w:rFonts w:ascii="Times New Roman" w:hAnsi="Times New Roman"/>
          <w:noProof/>
          <w:sz w:val="24"/>
          <w:szCs w:val="24"/>
          <w:lang w:val="sr-Cyrl-CS"/>
        </w:rPr>
        <w:t xml:space="preserve"> банке представља збир просјечних дневних обавезних резерви у EUR за радне дане у току периода одржавања,</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bCs/>
          <w:noProof/>
          <w:sz w:val="24"/>
          <w:szCs w:val="24"/>
          <w:lang w:val="sr-Cyrl-CS"/>
        </w:rPr>
        <w:t>т)</w:t>
      </w:r>
      <w:r>
        <w:rPr>
          <w:rFonts w:ascii="Times New Roman" w:hAnsi="Times New Roman"/>
          <w:b/>
          <w:noProof/>
          <w:sz w:val="24"/>
          <w:szCs w:val="24"/>
          <w:lang w:val="sr-Cyrl-CS"/>
        </w:rPr>
        <w:t xml:space="preserve">  резидуални рок доспијећа</w:t>
      </w:r>
      <w:r>
        <w:rPr>
          <w:rFonts w:ascii="Times New Roman" w:hAnsi="Times New Roman"/>
          <w:noProof/>
          <w:sz w:val="24"/>
          <w:szCs w:val="24"/>
          <w:lang w:val="sr-Cyrl-CS"/>
        </w:rPr>
        <w:t xml:space="preserve"> представља преостали рок до доспијећа обавеза, што подразумијева да се депозити и позајмљена средства с рочношћу „до једне године“ и „преко једне године“ у „Извјештај за обрачун обавезне резерве“ треба да евидентирају према преосталом року до доспијећа обавеза.</w:t>
      </w:r>
    </w:p>
    <w:p>
      <w:pPr>
        <w:jc w:val="both"/>
        <w:rPr>
          <w:noProof/>
          <w:lang w:val="sr-Cyrl-CS"/>
        </w:rPr>
      </w:pPr>
    </w:p>
    <w:p>
      <w:pPr>
        <w:jc w:val="center"/>
        <w:rPr>
          <w:b/>
          <w:noProof/>
          <w:lang w:val="sr-Cyrl-CS"/>
        </w:rPr>
      </w:pPr>
      <w:r>
        <w:rPr>
          <w:b/>
          <w:noProof/>
          <w:lang w:val="sr-Cyrl-CS"/>
        </w:rPr>
        <w:t>Члан 12.</w:t>
      </w:r>
    </w:p>
    <w:p>
      <w:pPr>
        <w:jc w:val="both"/>
        <w:rPr>
          <w:noProof/>
          <w:lang w:val="sr-Cyrl-CS"/>
        </w:rPr>
      </w:pPr>
      <w:r>
        <w:rPr>
          <w:noProof/>
          <w:lang w:val="sr-Cyrl-CS"/>
        </w:rPr>
        <w:t>(1) У прелазном периоду од 1. 1. 2024. до 31. 12. 2026. године (у даљнем тексту: прелазни период) банка ће обрачунату обавезну резерву у EUR одржавати држањем 95% КМ противвриједности обрачунате обавезне резерве у EUR на рачуну резерви у КМ и држањем 5% обрачунате обавезне резерве у EUR на рачуну резерви у EUR.</w:t>
      </w:r>
    </w:p>
    <w:p>
      <w:pPr>
        <w:pStyle w:val="ListParagraph"/>
        <w:spacing w:after="0" w:line="240" w:lineRule="auto"/>
        <w:ind w:left="0"/>
        <w:jc w:val="both"/>
        <w:rPr>
          <w:rFonts w:ascii="Times New Roman" w:hAnsi="Times New Roman"/>
          <w:noProof/>
          <w:sz w:val="24"/>
          <w:szCs w:val="24"/>
          <w:lang w:val="sr-Cyrl-CS"/>
        </w:rPr>
      </w:pPr>
      <w:r>
        <w:rPr>
          <w:rFonts w:ascii="Times New Roman" w:hAnsi="Times New Roman"/>
          <w:noProof/>
          <w:sz w:val="24"/>
          <w:szCs w:val="24"/>
          <w:lang w:val="sr-Cyrl-CS"/>
        </w:rPr>
        <w:t>(2) Централна банка ће током прелазног периода:</w:t>
      </w:r>
    </w:p>
    <w:p>
      <w:pPr>
        <w:pStyle w:val="ListParagraph"/>
        <w:numPr>
          <w:ilvl w:val="0"/>
          <w:numId w:val="17"/>
        </w:numPr>
        <w:spacing w:after="0" w:line="240" w:lineRule="auto"/>
        <w:jc w:val="both"/>
        <w:rPr>
          <w:rFonts w:ascii="Times New Roman" w:hAnsi="Times New Roman"/>
          <w:noProof/>
          <w:sz w:val="24"/>
          <w:szCs w:val="24"/>
          <w:lang w:val="sr-Cyrl-CS"/>
        </w:rPr>
      </w:pPr>
      <w:r>
        <w:rPr>
          <w:rFonts w:ascii="Times New Roman" w:hAnsi="Times New Roman"/>
          <w:noProof/>
          <w:sz w:val="24"/>
          <w:szCs w:val="24"/>
          <w:lang w:val="sr-Cyrl-CS"/>
        </w:rPr>
        <w:t>на дио средстава обавезне резерве у EUR који банка у складу са ставом (1) овог члана држи на рачуну резерви у КМ обрачунати накнаду по припадајућој стопи која се односи на средства обавезне резерве у EUR из члана 7. став (2) тачке а) ове одлуке, а</w:t>
      </w:r>
    </w:p>
    <w:p>
      <w:pPr>
        <w:pStyle w:val="ListParagraph"/>
        <w:spacing w:after="0" w:line="240" w:lineRule="auto"/>
        <w:ind w:hanging="360"/>
        <w:jc w:val="both"/>
        <w:rPr>
          <w:rFonts w:ascii="Times New Roman" w:hAnsi="Times New Roman"/>
          <w:noProof/>
          <w:sz w:val="24"/>
          <w:szCs w:val="24"/>
          <w:lang w:val="sr-Cyrl-CS"/>
        </w:rPr>
      </w:pPr>
      <w:r>
        <w:rPr>
          <w:rFonts w:ascii="Times New Roman" w:hAnsi="Times New Roman"/>
          <w:noProof/>
          <w:sz w:val="24"/>
          <w:szCs w:val="24"/>
          <w:lang w:val="sr-Cyrl-CS"/>
        </w:rPr>
        <w:t>б)  на средства изнад обавезне резерве на рачуну резерви у КМ, односно на рачуну резерви у EUR обрачунати накнаду по припадајућим стопама из члана 7. став (1) тачке б) ове одлуке, односно из члана 7. став (2) тачке б) ове одлуке.</w:t>
      </w:r>
    </w:p>
    <w:p>
      <w:pPr>
        <w:jc w:val="both"/>
        <w:rPr>
          <w:noProof/>
          <w:lang w:val="sr-Cyrl-CS"/>
        </w:rPr>
      </w:pPr>
      <w:r>
        <w:rPr>
          <w:noProof/>
          <w:lang w:val="sr-Cyrl-CS"/>
        </w:rPr>
        <w:t>(3) Током прелазног периода:</w:t>
      </w:r>
    </w:p>
    <w:p>
      <w:pPr>
        <w:pStyle w:val="ListParagraph"/>
        <w:numPr>
          <w:ilvl w:val="0"/>
          <w:numId w:val="16"/>
        </w:numPr>
        <w:spacing w:after="0" w:line="240" w:lineRule="auto"/>
        <w:jc w:val="both"/>
        <w:rPr>
          <w:rFonts w:ascii="Times New Roman" w:eastAsia="Times New Roman" w:hAnsi="Times New Roman"/>
          <w:noProof/>
          <w:sz w:val="24"/>
          <w:szCs w:val="24"/>
          <w:lang w:val="sr-Cyrl-CS"/>
        </w:rPr>
      </w:pPr>
      <w:r>
        <w:rPr>
          <w:rFonts w:ascii="Times New Roman" w:hAnsi="Times New Roman"/>
          <w:noProof/>
          <w:sz w:val="24"/>
          <w:szCs w:val="24"/>
          <w:lang w:val="sr-Cyrl-CS"/>
        </w:rPr>
        <w:t xml:space="preserve">обавезна резерва у EUR банке израчунава се множењем девизне основице за обрачун обавезне резерве с одговарајућом стопом обавезне резерве и представља минималан износ средстава које банка мора као просјечне дневне резерве у периоду одржавања, држати на рачуну резерви у EUR </w:t>
      </w:r>
      <w:r>
        <w:rPr>
          <w:rFonts w:ascii="Times New Roman" w:eastAsia="Times New Roman" w:hAnsi="Times New Roman"/>
          <w:noProof/>
          <w:sz w:val="24"/>
          <w:szCs w:val="24"/>
          <w:lang w:val="sr-Cyrl-CS"/>
        </w:rPr>
        <w:t>и на рачуну резерви у КМ</w:t>
      </w:r>
      <w:r>
        <w:rPr>
          <w:rFonts w:ascii="Times New Roman" w:hAnsi="Times New Roman"/>
          <w:noProof/>
          <w:sz w:val="24"/>
          <w:szCs w:val="24"/>
          <w:lang w:val="sr-Cyrl-CS"/>
        </w:rPr>
        <w:t xml:space="preserve"> код Централне банке</w:t>
      </w:r>
      <w:r>
        <w:rPr>
          <w:rFonts w:ascii="Times New Roman" w:eastAsia="Times New Roman" w:hAnsi="Times New Roman"/>
          <w:noProof/>
          <w:sz w:val="24"/>
          <w:szCs w:val="24"/>
          <w:lang w:val="sr-Cyrl-CS"/>
        </w:rPr>
        <w:t>;</w:t>
      </w:r>
    </w:p>
    <w:p>
      <w:pPr>
        <w:pStyle w:val="ListParagraph"/>
        <w:spacing w:after="0" w:line="240" w:lineRule="auto"/>
        <w:ind w:hanging="360"/>
        <w:jc w:val="both"/>
        <w:rPr>
          <w:rFonts w:ascii="Times New Roman" w:eastAsia="Times New Roman" w:hAnsi="Times New Roman"/>
          <w:noProof/>
          <w:sz w:val="24"/>
          <w:szCs w:val="24"/>
          <w:lang w:val="sr-Cyrl-CS"/>
        </w:rPr>
      </w:pPr>
      <w:r>
        <w:rPr>
          <w:rFonts w:ascii="Times New Roman" w:hAnsi="Times New Roman"/>
          <w:noProof/>
          <w:sz w:val="24"/>
          <w:szCs w:val="24"/>
          <w:lang w:val="sr-Cyrl-CS"/>
        </w:rPr>
        <w:t>б) укупна обавезна резерва на рачуну резерви у КМ банке представља збир просјечних дневних обавезних резерви у КМ и дијела просјечних дневних обавезних резерви у EUR утврђеног на начин прописан ставом (1) овог члана за радне дане у току периода одржавања</w:t>
      </w:r>
      <w:r>
        <w:rPr>
          <w:rFonts w:ascii="Times New Roman" w:eastAsia="Times New Roman" w:hAnsi="Times New Roman"/>
          <w:noProof/>
          <w:sz w:val="24"/>
          <w:szCs w:val="24"/>
          <w:lang w:val="sr-Cyrl-CS"/>
        </w:rPr>
        <w:t>;</w:t>
      </w:r>
    </w:p>
    <w:p>
      <w:pPr>
        <w:pStyle w:val="ListParagraph"/>
        <w:spacing w:after="0" w:line="240" w:lineRule="auto"/>
        <w:ind w:hanging="360"/>
        <w:jc w:val="both"/>
        <w:rPr>
          <w:rFonts w:ascii="Times New Roman" w:eastAsia="Times New Roman" w:hAnsi="Times New Roman"/>
          <w:noProof/>
          <w:sz w:val="24"/>
          <w:szCs w:val="24"/>
          <w:lang w:val="sr-Cyrl-CS"/>
        </w:rPr>
      </w:pPr>
      <w:r>
        <w:rPr>
          <w:rFonts w:ascii="Times New Roman" w:hAnsi="Times New Roman"/>
          <w:noProof/>
          <w:sz w:val="24"/>
          <w:szCs w:val="24"/>
          <w:lang w:val="sr-Cyrl-CS"/>
        </w:rPr>
        <w:t>ц)  укупна обавезна резерва на рачуну резерви у EUR банке представља збир дијела просјечних дневних обавезних резерви у EUR утврђеног на начин прописан ставом (1) овог члана за радне дане у току периода одржавања.</w:t>
      </w:r>
    </w:p>
    <w:p>
      <w:pPr>
        <w:jc w:val="both"/>
        <w:rPr>
          <w:noProof/>
          <w:lang w:val="sr-Cyrl-CS"/>
        </w:rPr>
      </w:pPr>
    </w:p>
    <w:p>
      <w:pPr>
        <w:jc w:val="center"/>
        <w:rPr>
          <w:b/>
          <w:noProof/>
          <w:lang w:val="sr-Cyrl-CS"/>
        </w:rPr>
      </w:pPr>
      <w:r>
        <w:rPr>
          <w:b/>
          <w:noProof/>
          <w:lang w:val="sr-Cyrl-CS"/>
        </w:rPr>
        <w:t>Члан 13.</w:t>
      </w:r>
    </w:p>
    <w:p>
      <w:pPr>
        <w:jc w:val="both"/>
        <w:rPr>
          <w:noProof/>
          <w:lang w:val="sr-Cyrl-CS"/>
        </w:rPr>
      </w:pPr>
      <w:r>
        <w:rPr>
          <w:noProof/>
          <w:lang w:val="sr-Cyrl-CS"/>
        </w:rPr>
        <w:t>Овлашћује се гувернер Централне банке да донесе пропис за примјену ове одлуке.</w:t>
      </w:r>
    </w:p>
    <w:p>
      <w:pPr>
        <w:jc w:val="both"/>
        <w:rPr>
          <w:noProof/>
          <w:lang w:val="sr-Cyrl-CS"/>
        </w:rPr>
      </w:pPr>
    </w:p>
    <w:p>
      <w:pPr>
        <w:jc w:val="center"/>
        <w:rPr>
          <w:b/>
          <w:noProof/>
          <w:lang w:val="sr-Cyrl-CS"/>
        </w:rPr>
      </w:pPr>
      <w:r>
        <w:rPr>
          <w:b/>
          <w:noProof/>
          <w:lang w:val="sr-Cyrl-CS"/>
        </w:rPr>
        <w:t>Члан 14.</w:t>
      </w:r>
    </w:p>
    <w:p>
      <w:pPr>
        <w:jc w:val="both"/>
        <w:rPr>
          <w:noProof/>
          <w:lang w:val="sr-Cyrl-CS"/>
        </w:rPr>
      </w:pPr>
      <w:r>
        <w:rPr>
          <w:noProof/>
          <w:lang w:val="sr-Cyrl-CS"/>
        </w:rPr>
        <w:t>Даном ступања на снагу ове одлуке престаје да важи Одлука о утврђивању и одржавању обавезних резерви и утврђивању накнаде на износ резерве („Службени гласник БиХ“, бр. 70/21, 53/22, 81/22, 43/23, 61/23, 54/24, 77/24, 16/25, 54/25 и 73/25).</w:t>
      </w:r>
    </w:p>
    <w:p>
      <w:pPr>
        <w:jc w:val="both"/>
        <w:rPr>
          <w:noProof/>
          <w:lang w:val="sr-Cyrl-CS"/>
        </w:rPr>
      </w:pPr>
    </w:p>
    <w:p>
      <w:pPr>
        <w:pStyle w:val="BodyText"/>
        <w:jc w:val="center"/>
        <w:rPr>
          <w:rFonts w:ascii="Times New Roman" w:hAnsi="Times New Roman"/>
          <w:b/>
          <w:bCs/>
          <w:noProof/>
          <w:szCs w:val="24"/>
          <w:lang w:val="sr-Cyrl-CS"/>
        </w:rPr>
      </w:pPr>
      <w:r>
        <w:rPr>
          <w:rFonts w:ascii="Times New Roman" w:hAnsi="Times New Roman"/>
          <w:b/>
          <w:noProof/>
          <w:szCs w:val="24"/>
          <w:lang w:val="sr-Cyrl-CS"/>
        </w:rPr>
        <w:t>Члан 15.</w:t>
      </w:r>
    </w:p>
    <w:p>
      <w:pPr>
        <w:pStyle w:val="BodyText"/>
        <w:tabs>
          <w:tab w:val="left" w:pos="9350"/>
        </w:tabs>
        <w:ind w:right="-103"/>
        <w:jc w:val="both"/>
        <w:rPr>
          <w:rFonts w:ascii="Times New Roman" w:hAnsi="Times New Roman"/>
          <w:noProof/>
          <w:szCs w:val="24"/>
          <w:lang w:val="sr-Cyrl-CS"/>
        </w:rPr>
      </w:pPr>
      <w:r>
        <w:rPr>
          <w:rFonts w:ascii="Times New Roman" w:hAnsi="Times New Roman"/>
          <w:noProof/>
          <w:szCs w:val="24"/>
          <w:lang w:val="sr-Cyrl-CS"/>
        </w:rPr>
        <w:t>(1) Ова одлука ступа на снагу осмог дана од дана објављивања у „Службеном гласнику БиХ“.</w:t>
      </w:r>
    </w:p>
    <w:p>
      <w:pPr>
        <w:jc w:val="both"/>
        <w:rPr>
          <w:noProof/>
          <w:lang w:val="sr-Cyrl-CS"/>
        </w:rPr>
      </w:pPr>
      <w:r>
        <w:rPr>
          <w:noProof/>
          <w:lang w:val="sr-Cyrl-CS"/>
        </w:rPr>
        <w:t>(2) Ова одлука ће се објавити и у „Службеним новинама Федерације Босне и Херцеговине“, „Службеном гласнику Републике Српске“ и „Службеном гласнику Брчко дистрикта Босне и Херцеговине“.</w:t>
      </w:r>
    </w:p>
    <w:p>
      <w:pPr>
        <w:rPr>
          <w:noProof/>
          <w:lang w:val="sr-Cyrl-CS"/>
        </w:rPr>
      </w:pPr>
    </w:p>
    <w:p>
      <w:pPr>
        <w:jc w:val="both"/>
        <w:rPr>
          <w:b/>
          <w:bCs/>
          <w:noProof/>
          <w:lang w:val="sr-Cyrl-CS"/>
        </w:rPr>
      </w:pPr>
      <w:bookmarkStart w:id="1" w:name="_GoBack"/>
      <w:bookmarkEnd w:id="1"/>
    </w:p>
    <w:p>
      <w:pPr>
        <w:jc w:val="both"/>
        <w:rPr>
          <w:b/>
          <w:bCs/>
          <w:noProof/>
          <w:lang w:val="sr-Cyrl-CS"/>
        </w:rPr>
      </w:pPr>
    </w:p>
    <w:p>
      <w:pPr>
        <w:tabs>
          <w:tab w:val="center" w:pos="7088"/>
        </w:tabs>
        <w:rPr>
          <w:b/>
          <w:bCs/>
          <w:noProof/>
          <w:lang w:val="sr-Cyrl-CS"/>
        </w:rPr>
      </w:pPr>
      <w:r>
        <w:rPr>
          <w:bCs/>
          <w:noProof/>
          <w:lang w:val="sr-Cyrl-CS"/>
        </w:rPr>
        <w:tab/>
      </w:r>
      <w:r>
        <w:rPr>
          <w:b/>
          <w:bCs/>
          <w:noProof/>
          <w:lang w:val="sr-Cyrl-CS"/>
        </w:rPr>
        <w:t>Предсједавајућа</w:t>
      </w:r>
    </w:p>
    <w:p>
      <w:pPr>
        <w:tabs>
          <w:tab w:val="center" w:pos="7088"/>
        </w:tabs>
        <w:rPr>
          <w:b/>
          <w:bCs/>
          <w:noProof/>
          <w:lang w:val="sr-Cyrl-CS"/>
        </w:rPr>
      </w:pPr>
      <w:r>
        <w:rPr>
          <w:b/>
          <w:bCs/>
          <w:noProof/>
          <w:lang w:val="sr-Cyrl-CS"/>
        </w:rPr>
        <w:tab/>
        <w:t>Управног одбора Централне банке</w:t>
      </w:r>
    </w:p>
    <w:p>
      <w:pPr>
        <w:tabs>
          <w:tab w:val="center" w:pos="7088"/>
        </w:tabs>
        <w:rPr>
          <w:bCs/>
          <w:noProof/>
          <w:lang w:val="sr-Cyrl-CS"/>
        </w:rPr>
      </w:pPr>
      <w:r>
        <w:rPr>
          <w:noProof/>
          <w:lang w:val="sr-Cyrl-CS"/>
        </w:rPr>
        <w:t>Број: УВ</w:t>
      </w:r>
      <w:r>
        <w:rPr>
          <w:lang w:val="bs-Latn-BA"/>
        </w:rPr>
        <w:t>-122-02-1-242-10/26</w:t>
      </w:r>
      <w:r>
        <w:rPr>
          <w:noProof/>
          <w:lang w:val="sr-Cyrl-CS"/>
        </w:rPr>
        <w:tab/>
      </w:r>
      <w:r>
        <w:rPr>
          <w:b/>
          <w:bCs/>
          <w:noProof/>
          <w:lang w:val="sr-Cyrl-CS"/>
        </w:rPr>
        <w:t>Босне и Херцеговине</w:t>
      </w:r>
    </w:p>
    <w:p>
      <w:pPr>
        <w:tabs>
          <w:tab w:val="center" w:pos="7088"/>
        </w:tabs>
        <w:rPr>
          <w:bCs/>
          <w:noProof/>
          <w:lang w:val="sr-Cyrl-CS"/>
        </w:rPr>
      </w:pPr>
      <w:r>
        <w:rPr>
          <w:noProof/>
          <w:lang w:val="sr-Cyrl-CS"/>
        </w:rPr>
        <w:t xml:space="preserve">Сарајево, </w:t>
      </w:r>
      <w:r>
        <w:rPr>
          <w:noProof/>
          <w:lang w:val="bs-Latn-BA"/>
        </w:rPr>
        <w:t>29.01.</w:t>
      </w:r>
      <w:r>
        <w:rPr>
          <w:noProof/>
          <w:lang w:val="sr-Cyrl-CS"/>
        </w:rPr>
        <w:t>202</w:t>
      </w:r>
      <w:r>
        <w:rPr>
          <w:noProof/>
          <w:lang w:val="bs-Latn-BA"/>
        </w:rPr>
        <w:t>6</w:t>
      </w:r>
      <w:r>
        <w:rPr>
          <w:noProof/>
          <w:lang w:val="sr-Cyrl-CS"/>
        </w:rPr>
        <w:t>. године</w:t>
      </w:r>
    </w:p>
    <w:p>
      <w:pPr>
        <w:tabs>
          <w:tab w:val="center" w:pos="7088"/>
        </w:tabs>
        <w:rPr>
          <w:b/>
          <w:bCs/>
          <w:noProof/>
          <w:lang w:val="sr-Cyrl-CS"/>
        </w:rPr>
      </w:pPr>
      <w:r>
        <w:rPr>
          <w:bCs/>
          <w:noProof/>
          <w:lang w:val="sr-Cyrl-CS"/>
        </w:rPr>
        <w:tab/>
      </w:r>
      <w:r>
        <w:rPr>
          <w:b/>
          <w:noProof/>
          <w:lang w:val="sr-Cyrl-CS"/>
        </w:rPr>
        <w:t>ГУВЕРНЕРКА</w:t>
      </w:r>
    </w:p>
    <w:p>
      <w:pPr>
        <w:tabs>
          <w:tab w:val="center" w:pos="7088"/>
        </w:tabs>
        <w:rPr>
          <w:b/>
          <w:bCs/>
          <w:noProof/>
          <w:lang w:val="sr-Cyrl-CS"/>
        </w:rPr>
      </w:pPr>
      <w:r>
        <w:rPr>
          <w:b/>
          <w:bCs/>
          <w:noProof/>
          <w:lang w:val="sr-Cyrl-CS"/>
        </w:rPr>
        <w:tab/>
        <w:t>др Јасмина Селимовић</w:t>
      </w:r>
    </w:p>
    <w:p>
      <w:pPr>
        <w:jc w:val="both"/>
        <w:rPr>
          <w:rFonts w:eastAsiaTheme="minorHAnsi"/>
          <w:noProof/>
          <w:lang w:val="sr-Cyrl-CS"/>
        </w:rPr>
      </w:pPr>
    </w:p>
    <w:p>
      <w:pPr>
        <w:jc w:val="both"/>
        <w:rPr>
          <w:rFonts w:eastAsiaTheme="minorHAnsi"/>
          <w:noProof/>
          <w:lang w:val="sr-Cyrl-CS"/>
        </w:rPr>
      </w:pPr>
    </w:p>
    <w:p>
      <w:pPr>
        <w:spacing w:after="160" w:line="259" w:lineRule="auto"/>
        <w:rPr>
          <w:rFonts w:eastAsiaTheme="minorHAnsi"/>
          <w:noProof/>
          <w:lang w:val="sr-Cyrl-CS"/>
        </w:rPr>
        <w:sectPr>
          <w:footerReference w:type="default" r:id="rId7"/>
          <w:pgSz w:w="11906" w:h="16838" w:code="9"/>
          <w:pgMar w:top="1247" w:right="1247" w:bottom="1247" w:left="1247" w:header="709" w:footer="709" w:gutter="0"/>
          <w:cols w:space="708"/>
          <w:docGrid w:linePitch="360"/>
        </w:sectPr>
      </w:pPr>
    </w:p>
    <w:tbl>
      <w:tblPr>
        <w:tblStyle w:val="TableGrid11"/>
        <w:tblW w:w="10779" w:type="dxa"/>
        <w:jc w:val="center"/>
        <w:tblLook w:val="04A0" w:firstRow="1" w:lastRow="0" w:firstColumn="1" w:lastColumn="0" w:noHBand="0" w:noVBand="1"/>
      </w:tblPr>
      <w:tblGrid>
        <w:gridCol w:w="5387"/>
        <w:gridCol w:w="1417"/>
        <w:gridCol w:w="1417"/>
        <w:gridCol w:w="1271"/>
        <w:gridCol w:w="1276"/>
        <w:gridCol w:w="11"/>
      </w:tblGrid>
      <w:tr>
        <w:trPr>
          <w:trHeight w:val="20"/>
          <w:jc w:val="center"/>
        </w:trPr>
        <w:tc>
          <w:tcPr>
            <w:tcW w:w="10779" w:type="dxa"/>
            <w:gridSpan w:val="6"/>
            <w:tcBorders>
              <w:top w:val="nil"/>
              <w:left w:val="nil"/>
              <w:bottom w:val="nil"/>
              <w:right w:val="nil"/>
            </w:tcBorders>
            <w:noWrap/>
            <w:hideMark/>
          </w:tcPr>
          <w:p>
            <w:pPr>
              <w:jc w:val="both"/>
              <w:rPr>
                <w:b/>
                <w:bCs/>
                <w:noProof/>
                <w:sz w:val="20"/>
                <w:szCs w:val="20"/>
                <w:lang w:val="sr-Cyrl-CS"/>
              </w:rPr>
            </w:pPr>
            <w:bookmarkStart w:id="2" w:name="RANGE!A1:E70"/>
            <w:r>
              <w:rPr>
                <w:b/>
                <w:bCs/>
                <w:noProof/>
                <w:sz w:val="20"/>
                <w:szCs w:val="20"/>
                <w:lang w:val="sr-Cyrl-CS"/>
              </w:rPr>
              <w:lastRenderedPageBreak/>
              <w:t>НАЗИВ БАНК</w:t>
            </w:r>
            <w:bookmarkEnd w:id="2"/>
            <w:r>
              <w:rPr>
                <w:b/>
                <w:bCs/>
                <w:noProof/>
                <w:sz w:val="20"/>
                <w:szCs w:val="20"/>
                <w:lang w:val="sr-Cyrl-CS"/>
              </w:rPr>
              <w:t>Е</w:t>
            </w:r>
          </w:p>
          <w:p>
            <w:pPr>
              <w:jc w:val="both"/>
              <w:rPr>
                <w:b/>
                <w:bCs/>
                <w:noProof/>
                <w:sz w:val="20"/>
                <w:szCs w:val="20"/>
                <w:lang w:val="sr-Cyrl-CS"/>
              </w:rPr>
            </w:pPr>
          </w:p>
          <w:p>
            <w:pPr>
              <w:jc w:val="both"/>
              <w:rPr>
                <w:noProof/>
                <w:sz w:val="20"/>
                <w:szCs w:val="20"/>
                <w:lang w:val="sr-Cyrl-CS"/>
              </w:rPr>
            </w:pPr>
          </w:p>
        </w:tc>
      </w:tr>
      <w:tr>
        <w:trPr>
          <w:trHeight w:val="20"/>
          <w:jc w:val="center"/>
        </w:trPr>
        <w:tc>
          <w:tcPr>
            <w:tcW w:w="10779" w:type="dxa"/>
            <w:gridSpan w:val="6"/>
            <w:tcBorders>
              <w:top w:val="nil"/>
              <w:left w:val="nil"/>
              <w:bottom w:val="nil"/>
              <w:right w:val="nil"/>
            </w:tcBorders>
            <w:vAlign w:val="center"/>
            <w:hideMark/>
          </w:tcPr>
          <w:p>
            <w:pPr>
              <w:jc w:val="center"/>
              <w:rPr>
                <w:b/>
                <w:bCs/>
                <w:noProof/>
                <w:sz w:val="20"/>
                <w:szCs w:val="20"/>
                <w:lang w:val="sr-Cyrl-CS"/>
              </w:rPr>
            </w:pPr>
            <w:r>
              <w:rPr>
                <w:b/>
                <w:bCs/>
                <w:noProof/>
                <w:sz w:val="20"/>
                <w:szCs w:val="20"/>
                <w:lang w:val="sr-Cyrl-CS"/>
              </w:rPr>
              <w:t>ИЗВЈЕШТАЈ ЗА ОБРАЧУН ОБАВЕЗНЕ РЕЗЕРВЕ</w:t>
            </w:r>
          </w:p>
        </w:tc>
      </w:tr>
      <w:tr>
        <w:trPr>
          <w:trHeight w:val="20"/>
          <w:jc w:val="center"/>
        </w:trPr>
        <w:tc>
          <w:tcPr>
            <w:tcW w:w="10779" w:type="dxa"/>
            <w:gridSpan w:val="6"/>
            <w:tcBorders>
              <w:top w:val="nil"/>
              <w:left w:val="nil"/>
              <w:bottom w:val="nil"/>
              <w:right w:val="nil"/>
            </w:tcBorders>
            <w:vAlign w:val="center"/>
            <w:hideMark/>
          </w:tcPr>
          <w:p>
            <w:pPr>
              <w:jc w:val="center"/>
              <w:rPr>
                <w:noProof/>
                <w:sz w:val="20"/>
                <w:szCs w:val="20"/>
                <w:lang w:val="sr-Cyrl-CS"/>
              </w:rPr>
            </w:pPr>
            <w:r>
              <w:rPr>
                <w:noProof/>
                <w:sz w:val="20"/>
                <w:szCs w:val="20"/>
                <w:lang w:val="sr-Cyrl-CS"/>
              </w:rPr>
              <w:t>за период од ................. до .................</w:t>
            </w:r>
          </w:p>
          <w:p>
            <w:pPr>
              <w:jc w:val="center"/>
              <w:rPr>
                <w:noProof/>
                <w:sz w:val="20"/>
                <w:szCs w:val="20"/>
                <w:lang w:val="sr-Cyrl-CS"/>
              </w:rPr>
            </w:pPr>
          </w:p>
          <w:p>
            <w:pPr>
              <w:jc w:val="center"/>
              <w:rPr>
                <w:noProof/>
                <w:sz w:val="20"/>
                <w:szCs w:val="20"/>
                <w:lang w:val="sr-Cyrl-CS"/>
              </w:rPr>
            </w:pPr>
          </w:p>
        </w:tc>
      </w:tr>
      <w:tr>
        <w:trPr>
          <w:trHeight w:val="317"/>
          <w:jc w:val="center"/>
        </w:trPr>
        <w:tc>
          <w:tcPr>
            <w:tcW w:w="10779" w:type="dxa"/>
            <w:gridSpan w:val="6"/>
            <w:tcBorders>
              <w:top w:val="nil"/>
              <w:left w:val="nil"/>
              <w:bottom w:val="single" w:sz="4" w:space="0" w:color="auto"/>
              <w:right w:val="nil"/>
            </w:tcBorders>
            <w:vAlign w:val="center"/>
            <w:hideMark/>
          </w:tcPr>
          <w:p>
            <w:pPr>
              <w:jc w:val="both"/>
              <w:rPr>
                <w:noProof/>
                <w:sz w:val="20"/>
                <w:szCs w:val="20"/>
                <w:lang w:val="sr-Cyrl-CS"/>
              </w:rPr>
            </w:pPr>
            <w:r>
              <w:rPr>
                <w:noProof/>
                <w:sz w:val="20"/>
                <w:szCs w:val="20"/>
                <w:lang w:val="sr-Cyrl-CS"/>
              </w:rPr>
              <w:t>Број радних дана у периоду .................</w:t>
            </w:r>
          </w:p>
        </w:tc>
      </w:tr>
      <w:tr>
        <w:trPr>
          <w:gridAfter w:val="1"/>
          <w:wAfter w:w="11" w:type="dxa"/>
          <w:jc w:val="center"/>
        </w:trPr>
        <w:tc>
          <w:tcPr>
            <w:tcW w:w="5387" w:type="dxa"/>
            <w:tcBorders>
              <w:top w:val="single" w:sz="4" w:space="0" w:color="auto"/>
            </w:tcBorders>
            <w:vAlign w:val="center"/>
            <w:hideMark/>
          </w:tcPr>
          <w:p>
            <w:pPr>
              <w:jc w:val="center"/>
              <w:rPr>
                <w:b/>
                <w:bCs/>
                <w:noProof/>
                <w:sz w:val="20"/>
                <w:szCs w:val="20"/>
                <w:lang w:val="sr-Cyrl-CS"/>
              </w:rPr>
            </w:pPr>
            <w:bookmarkStart w:id="3" w:name="_Hlk205294545"/>
            <w:r>
              <w:rPr>
                <w:b/>
                <w:bCs/>
                <w:noProof/>
                <w:sz w:val="20"/>
                <w:szCs w:val="20"/>
                <w:lang w:val="sr-Cyrl-CS"/>
              </w:rPr>
              <w:t>ОПИС ПОЗИЦИЈА</w:t>
            </w:r>
          </w:p>
        </w:tc>
        <w:tc>
          <w:tcPr>
            <w:tcW w:w="1417" w:type="dxa"/>
            <w:tcBorders>
              <w:top w:val="single" w:sz="4" w:space="0" w:color="auto"/>
              <w:bottom w:val="single" w:sz="4" w:space="0" w:color="auto"/>
            </w:tcBorders>
            <w:vAlign w:val="center"/>
            <w:hideMark/>
          </w:tcPr>
          <w:p>
            <w:pPr>
              <w:jc w:val="center"/>
              <w:rPr>
                <w:noProof/>
                <w:sz w:val="20"/>
                <w:szCs w:val="20"/>
                <w:lang w:val="sr-Cyrl-CS"/>
              </w:rPr>
            </w:pPr>
            <w:r>
              <w:rPr>
                <w:noProof/>
                <w:sz w:val="20"/>
                <w:szCs w:val="20"/>
                <w:lang w:val="sr-Cyrl-CS"/>
              </w:rPr>
              <w:t>Просјечно стање средстава у КМ (по резидуалном року доспијећа)</w:t>
            </w:r>
          </w:p>
        </w:tc>
        <w:tc>
          <w:tcPr>
            <w:tcW w:w="3964" w:type="dxa"/>
            <w:gridSpan w:val="3"/>
            <w:tcBorders>
              <w:top w:val="single" w:sz="4" w:space="0" w:color="auto"/>
              <w:bottom w:val="single" w:sz="4" w:space="0" w:color="auto"/>
            </w:tcBorders>
            <w:vAlign w:val="center"/>
          </w:tcPr>
          <w:p>
            <w:pPr>
              <w:jc w:val="center"/>
              <w:rPr>
                <w:noProof/>
                <w:sz w:val="20"/>
                <w:szCs w:val="20"/>
                <w:lang w:val="sr-Cyrl-CS"/>
              </w:rPr>
            </w:pPr>
            <w:r>
              <w:rPr>
                <w:noProof/>
                <w:sz w:val="20"/>
                <w:szCs w:val="20"/>
                <w:lang w:val="sr-Cyrl-CS"/>
              </w:rPr>
              <w:t xml:space="preserve">Просјечно стање средстава у EUR </w:t>
            </w:r>
          </w:p>
          <w:p>
            <w:pPr>
              <w:jc w:val="center"/>
              <w:rPr>
                <w:noProof/>
                <w:sz w:val="20"/>
                <w:szCs w:val="20"/>
                <w:lang w:val="sr-Cyrl-CS"/>
              </w:rPr>
            </w:pPr>
            <w:r>
              <w:rPr>
                <w:noProof/>
                <w:sz w:val="20"/>
                <w:szCs w:val="20"/>
                <w:lang w:val="sr-Cyrl-CS"/>
              </w:rPr>
              <w:t>(по резидуалном року доспијећа)</w:t>
            </w:r>
          </w:p>
        </w:tc>
      </w:tr>
      <w:tr>
        <w:trPr>
          <w:gridAfter w:val="1"/>
          <w:wAfter w:w="11" w:type="dxa"/>
          <w:trHeight w:val="20"/>
          <w:jc w:val="center"/>
        </w:trPr>
        <w:tc>
          <w:tcPr>
            <w:tcW w:w="5387" w:type="dxa"/>
            <w:vMerge w:val="restart"/>
            <w:vAlign w:val="center"/>
            <w:hideMark/>
          </w:tcPr>
          <w:p>
            <w:pPr>
              <w:jc w:val="center"/>
              <w:rPr>
                <w:noProof/>
                <w:sz w:val="20"/>
                <w:szCs w:val="20"/>
                <w:lang w:val="sr-Cyrl-CS"/>
              </w:rPr>
            </w:pPr>
            <w:r>
              <w:rPr>
                <w:b/>
                <w:bCs/>
                <w:noProof/>
                <w:sz w:val="20"/>
                <w:szCs w:val="20"/>
                <w:lang w:val="sr-Cyrl-CS"/>
              </w:rPr>
              <w:t>ОСНОВИЦА ЗА ОБРАЧУН ОБАВЕЗНЕ РЕЗЕРВЕ</w:t>
            </w:r>
          </w:p>
        </w:tc>
        <w:tc>
          <w:tcPr>
            <w:tcW w:w="1417" w:type="dxa"/>
            <w:vMerge w:val="restart"/>
            <w:vAlign w:val="center"/>
            <w:hideMark/>
          </w:tcPr>
          <w:p>
            <w:pPr>
              <w:jc w:val="center"/>
              <w:rPr>
                <w:noProof/>
                <w:sz w:val="20"/>
                <w:szCs w:val="20"/>
                <w:lang w:val="sr-Cyrl-CS"/>
              </w:rPr>
            </w:pPr>
            <w:r>
              <w:rPr>
                <w:noProof/>
                <w:sz w:val="20"/>
                <w:szCs w:val="20"/>
                <w:lang w:val="sr-Cyrl-CS"/>
              </w:rPr>
              <w:t>КМ</w:t>
            </w:r>
          </w:p>
        </w:tc>
        <w:tc>
          <w:tcPr>
            <w:tcW w:w="3964" w:type="dxa"/>
            <w:gridSpan w:val="3"/>
            <w:vAlign w:val="center"/>
            <w:hideMark/>
          </w:tcPr>
          <w:p>
            <w:pPr>
              <w:jc w:val="center"/>
              <w:rPr>
                <w:noProof/>
                <w:sz w:val="20"/>
                <w:szCs w:val="20"/>
                <w:lang w:val="sr-Cyrl-CS"/>
              </w:rPr>
            </w:pPr>
            <w:r>
              <w:rPr>
                <w:noProof/>
                <w:sz w:val="20"/>
                <w:szCs w:val="20"/>
                <w:lang w:val="sr-Cyrl-CS"/>
              </w:rPr>
              <w:t>Остале валуте</w:t>
            </w:r>
          </w:p>
        </w:tc>
      </w:tr>
      <w:tr>
        <w:trPr>
          <w:gridAfter w:val="1"/>
          <w:wAfter w:w="11" w:type="dxa"/>
          <w:trHeight w:val="20"/>
          <w:jc w:val="center"/>
        </w:trPr>
        <w:tc>
          <w:tcPr>
            <w:tcW w:w="5387" w:type="dxa"/>
            <w:vMerge/>
            <w:vAlign w:val="center"/>
            <w:hideMark/>
          </w:tcPr>
          <w:p>
            <w:pPr>
              <w:jc w:val="center"/>
              <w:rPr>
                <w:b/>
                <w:bCs/>
                <w:noProof/>
                <w:sz w:val="20"/>
                <w:szCs w:val="20"/>
                <w:lang w:val="sr-Cyrl-CS"/>
              </w:rPr>
            </w:pPr>
          </w:p>
        </w:tc>
        <w:tc>
          <w:tcPr>
            <w:tcW w:w="1417" w:type="dxa"/>
            <w:vMerge/>
            <w:noWrap/>
            <w:vAlign w:val="center"/>
            <w:hideMark/>
          </w:tcPr>
          <w:p>
            <w:pPr>
              <w:jc w:val="center"/>
              <w:rPr>
                <w:noProof/>
                <w:sz w:val="20"/>
                <w:szCs w:val="20"/>
                <w:lang w:val="sr-Cyrl-CS"/>
              </w:rPr>
            </w:pPr>
          </w:p>
        </w:tc>
        <w:tc>
          <w:tcPr>
            <w:tcW w:w="1417" w:type="dxa"/>
            <w:vAlign w:val="center"/>
            <w:hideMark/>
          </w:tcPr>
          <w:p>
            <w:pPr>
              <w:jc w:val="center"/>
              <w:rPr>
                <w:noProof/>
                <w:sz w:val="19"/>
                <w:szCs w:val="19"/>
                <w:lang w:val="sr-Cyrl-CS"/>
              </w:rPr>
            </w:pPr>
            <w:r>
              <w:rPr>
                <w:noProof/>
                <w:sz w:val="19"/>
                <w:szCs w:val="19"/>
                <w:lang w:val="sr-Cyrl-CS"/>
              </w:rPr>
              <w:t>КМ с валутном клаузулом изражено у EUR</w:t>
            </w:r>
          </w:p>
        </w:tc>
        <w:tc>
          <w:tcPr>
            <w:tcW w:w="1271" w:type="dxa"/>
            <w:vAlign w:val="center"/>
            <w:hideMark/>
          </w:tcPr>
          <w:p>
            <w:pPr>
              <w:jc w:val="center"/>
              <w:rPr>
                <w:noProof/>
                <w:sz w:val="20"/>
                <w:szCs w:val="20"/>
                <w:lang w:val="sr-Cyrl-CS"/>
              </w:rPr>
            </w:pPr>
            <w:r>
              <w:rPr>
                <w:noProof/>
                <w:sz w:val="20"/>
                <w:szCs w:val="20"/>
                <w:lang w:val="sr-Cyrl-CS"/>
              </w:rPr>
              <w:t>Стране валуте изражено у EUR</w:t>
            </w:r>
          </w:p>
        </w:tc>
        <w:tc>
          <w:tcPr>
            <w:tcW w:w="1276" w:type="dxa"/>
            <w:vAlign w:val="center"/>
            <w:hideMark/>
          </w:tcPr>
          <w:p>
            <w:pPr>
              <w:jc w:val="center"/>
              <w:rPr>
                <w:noProof/>
                <w:sz w:val="20"/>
                <w:szCs w:val="20"/>
                <w:lang w:val="sr-Cyrl-CS"/>
              </w:rPr>
            </w:pPr>
            <w:r>
              <w:rPr>
                <w:noProof/>
                <w:sz w:val="20"/>
                <w:szCs w:val="20"/>
                <w:lang w:val="sr-Cyrl-CS"/>
              </w:rPr>
              <w:t>Остале валуте укупно у EUR</w:t>
            </w:r>
          </w:p>
        </w:tc>
      </w:tr>
      <w:tr>
        <w:trPr>
          <w:gridAfter w:val="1"/>
          <w:wAfter w:w="11" w:type="dxa"/>
          <w:trHeight w:val="20"/>
          <w:jc w:val="center"/>
        </w:trPr>
        <w:tc>
          <w:tcPr>
            <w:tcW w:w="5387" w:type="dxa"/>
            <w:vAlign w:val="center"/>
          </w:tcPr>
          <w:p>
            <w:pPr>
              <w:jc w:val="center"/>
              <w:rPr>
                <w:b/>
                <w:bCs/>
                <w:noProof/>
                <w:sz w:val="16"/>
                <w:szCs w:val="16"/>
                <w:lang w:val="sr-Cyrl-CS"/>
              </w:rPr>
            </w:pPr>
          </w:p>
        </w:tc>
        <w:tc>
          <w:tcPr>
            <w:tcW w:w="1417" w:type="dxa"/>
            <w:vAlign w:val="center"/>
          </w:tcPr>
          <w:p>
            <w:pPr>
              <w:jc w:val="center"/>
              <w:rPr>
                <w:noProof/>
                <w:sz w:val="16"/>
                <w:szCs w:val="16"/>
                <w:lang w:val="sr-Cyrl-CS"/>
              </w:rPr>
            </w:pPr>
            <w:r>
              <w:rPr>
                <w:noProof/>
                <w:sz w:val="16"/>
                <w:szCs w:val="16"/>
                <w:lang w:val="sr-Cyrl-CS"/>
              </w:rPr>
              <w:t>1</w:t>
            </w:r>
          </w:p>
        </w:tc>
        <w:tc>
          <w:tcPr>
            <w:tcW w:w="1417" w:type="dxa"/>
            <w:vAlign w:val="center"/>
          </w:tcPr>
          <w:p>
            <w:pPr>
              <w:jc w:val="center"/>
              <w:rPr>
                <w:noProof/>
                <w:sz w:val="16"/>
                <w:szCs w:val="16"/>
                <w:lang w:val="sr-Cyrl-CS"/>
              </w:rPr>
            </w:pPr>
            <w:r>
              <w:rPr>
                <w:noProof/>
                <w:sz w:val="16"/>
                <w:szCs w:val="16"/>
                <w:lang w:val="sr-Cyrl-CS"/>
              </w:rPr>
              <w:t>2</w:t>
            </w:r>
          </w:p>
        </w:tc>
        <w:tc>
          <w:tcPr>
            <w:tcW w:w="1271" w:type="dxa"/>
            <w:vAlign w:val="center"/>
          </w:tcPr>
          <w:p>
            <w:pPr>
              <w:jc w:val="center"/>
              <w:rPr>
                <w:noProof/>
                <w:sz w:val="16"/>
                <w:szCs w:val="16"/>
                <w:lang w:val="sr-Cyrl-CS"/>
              </w:rPr>
            </w:pPr>
            <w:r>
              <w:rPr>
                <w:noProof/>
                <w:sz w:val="16"/>
                <w:szCs w:val="16"/>
                <w:lang w:val="sr-Cyrl-CS"/>
              </w:rPr>
              <w:t>3</w:t>
            </w:r>
          </w:p>
        </w:tc>
        <w:tc>
          <w:tcPr>
            <w:tcW w:w="1276" w:type="dxa"/>
            <w:vAlign w:val="center"/>
          </w:tcPr>
          <w:p>
            <w:pPr>
              <w:jc w:val="center"/>
              <w:rPr>
                <w:noProof/>
                <w:sz w:val="16"/>
                <w:szCs w:val="16"/>
                <w:lang w:val="sr-Cyrl-CS"/>
              </w:rPr>
            </w:pPr>
            <w:r>
              <w:rPr>
                <w:noProof/>
                <w:sz w:val="16"/>
                <w:szCs w:val="16"/>
                <w:lang w:val="sr-Cyrl-CS"/>
              </w:rPr>
              <w:t>4=2+3</w:t>
            </w:r>
          </w:p>
        </w:tc>
      </w:tr>
      <w:bookmarkEnd w:id="3"/>
      <w:tr>
        <w:trPr>
          <w:gridAfter w:val="1"/>
          <w:wAfter w:w="11" w:type="dxa"/>
          <w:trHeight w:val="20"/>
          <w:jc w:val="center"/>
        </w:trPr>
        <w:tc>
          <w:tcPr>
            <w:tcW w:w="5387" w:type="dxa"/>
            <w:vAlign w:val="center"/>
            <w:hideMark/>
          </w:tcPr>
          <w:p>
            <w:pPr>
              <w:jc w:val="both"/>
              <w:rPr>
                <w:b/>
                <w:bCs/>
                <w:noProof/>
                <w:sz w:val="20"/>
                <w:szCs w:val="20"/>
                <w:lang w:val="sr-Cyrl-CS"/>
              </w:rPr>
            </w:pPr>
            <w:r>
              <w:rPr>
                <w:b/>
                <w:bCs/>
                <w:noProof/>
                <w:sz w:val="20"/>
                <w:szCs w:val="20"/>
                <w:lang w:val="sr-Cyrl-CS"/>
              </w:rPr>
              <w:t>1 - Депозити и позајмљена средства од нерезидената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До једне године</w:t>
            </w:r>
          </w:p>
        </w:tc>
        <w:tc>
          <w:tcPr>
            <w:tcW w:w="1417" w:type="dxa"/>
            <w:vAlign w:val="center"/>
            <w:hideMark/>
          </w:tcPr>
          <w:p>
            <w:pPr>
              <w:jc w:val="both"/>
              <w:rPr>
                <w:b/>
                <w:bCs/>
                <w:i/>
                <w:iCs/>
                <w:noProof/>
                <w:sz w:val="20"/>
                <w:szCs w:val="20"/>
                <w:lang w:val="sr-Cyrl-CS"/>
              </w:rPr>
            </w:pPr>
            <w:r>
              <w:rPr>
                <w:b/>
                <w:bCs/>
                <w:i/>
                <w:iCs/>
                <w:noProof/>
                <w:sz w:val="20"/>
                <w:szCs w:val="20"/>
                <w:lang w:val="sr-Cyrl-CS"/>
              </w:rPr>
              <w:t> </w:t>
            </w:r>
          </w:p>
        </w:tc>
        <w:tc>
          <w:tcPr>
            <w:tcW w:w="1417" w:type="dxa"/>
            <w:vAlign w:val="center"/>
            <w:hideMark/>
          </w:tcPr>
          <w:p>
            <w:pPr>
              <w:jc w:val="both"/>
              <w:rPr>
                <w:b/>
                <w:bCs/>
                <w:i/>
                <w:iCs/>
                <w:noProof/>
                <w:sz w:val="20"/>
                <w:szCs w:val="20"/>
                <w:lang w:val="sr-Cyrl-CS"/>
              </w:rPr>
            </w:pPr>
            <w:r>
              <w:rPr>
                <w:b/>
                <w:bCs/>
                <w:i/>
                <w:iCs/>
                <w:noProof/>
                <w:sz w:val="20"/>
                <w:szCs w:val="20"/>
                <w:lang w:val="sr-Cyrl-CS"/>
              </w:rPr>
              <w:t> </w:t>
            </w:r>
          </w:p>
        </w:tc>
        <w:tc>
          <w:tcPr>
            <w:tcW w:w="1271" w:type="dxa"/>
            <w:vAlign w:val="center"/>
            <w:hideMark/>
          </w:tcPr>
          <w:p>
            <w:pPr>
              <w:jc w:val="both"/>
              <w:rPr>
                <w:b/>
                <w:bCs/>
                <w:i/>
                <w:iCs/>
                <w:noProof/>
                <w:sz w:val="20"/>
                <w:szCs w:val="20"/>
                <w:lang w:val="sr-Cyrl-CS"/>
              </w:rPr>
            </w:pPr>
            <w:r>
              <w:rPr>
                <w:b/>
                <w:bCs/>
                <w:i/>
                <w:iCs/>
                <w:noProof/>
                <w:sz w:val="20"/>
                <w:szCs w:val="20"/>
                <w:lang w:val="sr-Cyrl-CS"/>
              </w:rPr>
              <w:t> </w:t>
            </w:r>
          </w:p>
        </w:tc>
        <w:tc>
          <w:tcPr>
            <w:tcW w:w="1276" w:type="dxa"/>
            <w:vAlign w:val="center"/>
            <w:hideMark/>
          </w:tcPr>
          <w:p>
            <w:pPr>
              <w:jc w:val="both"/>
              <w:rPr>
                <w:b/>
                <w:bCs/>
                <w:i/>
                <w:iCs/>
                <w:noProof/>
                <w:sz w:val="20"/>
                <w:szCs w:val="20"/>
                <w:lang w:val="sr-Cyrl-CS"/>
              </w:rPr>
            </w:pPr>
            <w:r>
              <w:rPr>
                <w:b/>
                <w:bCs/>
                <w:i/>
                <w:iCs/>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Кореспондентски рачуни нерезидентних банака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Краткорочни депозити нерезидената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Краткорочни кредити од нерезидената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tcPr>
          <w:p>
            <w:pPr>
              <w:rPr>
                <w:noProof/>
                <w:sz w:val="20"/>
                <w:szCs w:val="20"/>
                <w:lang w:val="sr-Cyrl-CS"/>
              </w:rPr>
            </w:pPr>
            <w:r>
              <w:rPr>
                <w:noProof/>
                <w:sz w:val="20"/>
                <w:szCs w:val="20"/>
                <w:lang w:val="sr-Cyrl-CS"/>
              </w:rPr>
              <w:t>Краткорочни вриједносни папири код нерезидената</w:t>
            </w:r>
          </w:p>
        </w:tc>
        <w:tc>
          <w:tcPr>
            <w:tcW w:w="1417" w:type="dxa"/>
            <w:vAlign w:val="center"/>
          </w:tcPr>
          <w:p>
            <w:pPr>
              <w:jc w:val="both"/>
              <w:rPr>
                <w:b/>
                <w:bCs/>
                <w:i/>
                <w:iCs/>
                <w:noProof/>
                <w:sz w:val="20"/>
                <w:szCs w:val="20"/>
                <w:lang w:val="sr-Cyrl-CS"/>
              </w:rPr>
            </w:pPr>
          </w:p>
        </w:tc>
        <w:tc>
          <w:tcPr>
            <w:tcW w:w="1417" w:type="dxa"/>
            <w:vAlign w:val="center"/>
          </w:tcPr>
          <w:p>
            <w:pPr>
              <w:jc w:val="both"/>
              <w:rPr>
                <w:b/>
                <w:bCs/>
                <w:i/>
                <w:iCs/>
                <w:noProof/>
                <w:sz w:val="20"/>
                <w:szCs w:val="20"/>
                <w:lang w:val="sr-Cyrl-CS"/>
              </w:rPr>
            </w:pPr>
          </w:p>
        </w:tc>
        <w:tc>
          <w:tcPr>
            <w:tcW w:w="1271" w:type="dxa"/>
            <w:vAlign w:val="center"/>
          </w:tcPr>
          <w:p>
            <w:pPr>
              <w:jc w:val="both"/>
              <w:rPr>
                <w:b/>
                <w:bCs/>
                <w:i/>
                <w:iCs/>
                <w:noProof/>
                <w:sz w:val="20"/>
                <w:szCs w:val="20"/>
                <w:lang w:val="sr-Cyrl-CS"/>
              </w:rPr>
            </w:pPr>
          </w:p>
        </w:tc>
        <w:tc>
          <w:tcPr>
            <w:tcW w:w="1276" w:type="dxa"/>
            <w:vAlign w:val="center"/>
          </w:tcPr>
          <w:p>
            <w:pPr>
              <w:jc w:val="both"/>
              <w:rPr>
                <w:b/>
                <w:bCs/>
                <w:i/>
                <w:iCs/>
                <w:noProof/>
                <w:sz w:val="20"/>
                <w:szCs w:val="20"/>
                <w:lang w:val="sr-Cyrl-CS"/>
              </w:rPr>
            </w:pP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Преко једне године</w:t>
            </w:r>
          </w:p>
        </w:tc>
        <w:tc>
          <w:tcPr>
            <w:tcW w:w="1417" w:type="dxa"/>
            <w:vAlign w:val="center"/>
            <w:hideMark/>
          </w:tcPr>
          <w:p>
            <w:pPr>
              <w:jc w:val="both"/>
              <w:rPr>
                <w:b/>
                <w:bCs/>
                <w:i/>
                <w:iCs/>
                <w:noProof/>
                <w:sz w:val="20"/>
                <w:szCs w:val="20"/>
                <w:lang w:val="sr-Cyrl-CS"/>
              </w:rPr>
            </w:pPr>
            <w:r>
              <w:rPr>
                <w:b/>
                <w:bCs/>
                <w:i/>
                <w:iCs/>
                <w:noProof/>
                <w:sz w:val="20"/>
                <w:szCs w:val="20"/>
                <w:lang w:val="sr-Cyrl-CS"/>
              </w:rPr>
              <w:t> </w:t>
            </w:r>
          </w:p>
        </w:tc>
        <w:tc>
          <w:tcPr>
            <w:tcW w:w="1417" w:type="dxa"/>
            <w:vAlign w:val="center"/>
            <w:hideMark/>
          </w:tcPr>
          <w:p>
            <w:pPr>
              <w:jc w:val="both"/>
              <w:rPr>
                <w:b/>
                <w:bCs/>
                <w:i/>
                <w:iCs/>
                <w:noProof/>
                <w:sz w:val="20"/>
                <w:szCs w:val="20"/>
                <w:lang w:val="sr-Cyrl-CS"/>
              </w:rPr>
            </w:pPr>
            <w:r>
              <w:rPr>
                <w:b/>
                <w:bCs/>
                <w:i/>
                <w:iCs/>
                <w:noProof/>
                <w:sz w:val="20"/>
                <w:szCs w:val="20"/>
                <w:lang w:val="sr-Cyrl-CS"/>
              </w:rPr>
              <w:t> </w:t>
            </w:r>
          </w:p>
        </w:tc>
        <w:tc>
          <w:tcPr>
            <w:tcW w:w="1271" w:type="dxa"/>
            <w:vAlign w:val="center"/>
            <w:hideMark/>
          </w:tcPr>
          <w:p>
            <w:pPr>
              <w:jc w:val="both"/>
              <w:rPr>
                <w:b/>
                <w:bCs/>
                <w:i/>
                <w:iCs/>
                <w:noProof/>
                <w:sz w:val="20"/>
                <w:szCs w:val="20"/>
                <w:lang w:val="sr-Cyrl-CS"/>
              </w:rPr>
            </w:pPr>
            <w:r>
              <w:rPr>
                <w:b/>
                <w:bCs/>
                <w:i/>
                <w:iCs/>
                <w:noProof/>
                <w:sz w:val="20"/>
                <w:szCs w:val="20"/>
                <w:lang w:val="sr-Cyrl-CS"/>
              </w:rPr>
              <w:t> </w:t>
            </w:r>
          </w:p>
        </w:tc>
        <w:tc>
          <w:tcPr>
            <w:tcW w:w="1276" w:type="dxa"/>
            <w:vAlign w:val="center"/>
            <w:hideMark/>
          </w:tcPr>
          <w:p>
            <w:pPr>
              <w:jc w:val="both"/>
              <w:rPr>
                <w:b/>
                <w:bCs/>
                <w:i/>
                <w:iCs/>
                <w:noProof/>
                <w:sz w:val="20"/>
                <w:szCs w:val="20"/>
                <w:lang w:val="sr-Cyrl-CS"/>
              </w:rPr>
            </w:pPr>
            <w:r>
              <w:rPr>
                <w:b/>
                <w:bCs/>
                <w:i/>
                <w:iCs/>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Дугорочни депозити нерезидената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Дугорочни кредити од нерезидената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tcPr>
          <w:p>
            <w:pPr>
              <w:rPr>
                <w:noProof/>
                <w:sz w:val="20"/>
                <w:szCs w:val="20"/>
                <w:lang w:val="sr-Cyrl-CS"/>
              </w:rPr>
            </w:pPr>
            <w:r>
              <w:rPr>
                <w:noProof/>
                <w:sz w:val="20"/>
                <w:szCs w:val="20"/>
                <w:lang w:val="sr-Cyrl-CS"/>
              </w:rPr>
              <w:t>Дугорочни вриједносни папири код нерезидената</w:t>
            </w:r>
          </w:p>
        </w:tc>
        <w:tc>
          <w:tcPr>
            <w:tcW w:w="1417" w:type="dxa"/>
            <w:vAlign w:val="center"/>
          </w:tcPr>
          <w:p>
            <w:pPr>
              <w:jc w:val="both"/>
              <w:rPr>
                <w:b/>
                <w:bCs/>
                <w:noProof/>
                <w:sz w:val="20"/>
                <w:szCs w:val="20"/>
                <w:lang w:val="sr-Cyrl-CS"/>
              </w:rPr>
            </w:pPr>
          </w:p>
        </w:tc>
        <w:tc>
          <w:tcPr>
            <w:tcW w:w="1417" w:type="dxa"/>
            <w:vAlign w:val="center"/>
          </w:tcPr>
          <w:p>
            <w:pPr>
              <w:jc w:val="both"/>
              <w:rPr>
                <w:b/>
                <w:bCs/>
                <w:noProof/>
                <w:sz w:val="20"/>
                <w:szCs w:val="20"/>
                <w:lang w:val="sr-Cyrl-CS"/>
              </w:rPr>
            </w:pPr>
          </w:p>
        </w:tc>
        <w:tc>
          <w:tcPr>
            <w:tcW w:w="1271" w:type="dxa"/>
            <w:vAlign w:val="center"/>
          </w:tcPr>
          <w:p>
            <w:pPr>
              <w:jc w:val="both"/>
              <w:rPr>
                <w:b/>
                <w:bCs/>
                <w:noProof/>
                <w:sz w:val="20"/>
                <w:szCs w:val="20"/>
                <w:lang w:val="sr-Cyrl-CS"/>
              </w:rPr>
            </w:pPr>
          </w:p>
        </w:tc>
        <w:tc>
          <w:tcPr>
            <w:tcW w:w="1276" w:type="dxa"/>
            <w:vAlign w:val="center"/>
          </w:tcPr>
          <w:p>
            <w:pPr>
              <w:jc w:val="both"/>
              <w:rPr>
                <w:b/>
                <w:bCs/>
                <w:noProof/>
                <w:sz w:val="20"/>
                <w:szCs w:val="20"/>
                <w:lang w:val="sr-Cyrl-CS"/>
              </w:rPr>
            </w:pPr>
          </w:p>
        </w:tc>
      </w:tr>
      <w:tr>
        <w:trPr>
          <w:gridAfter w:val="1"/>
          <w:wAfter w:w="11" w:type="dxa"/>
          <w:trHeight w:val="20"/>
          <w:jc w:val="center"/>
        </w:trPr>
        <w:tc>
          <w:tcPr>
            <w:tcW w:w="5387" w:type="dxa"/>
            <w:vAlign w:val="center"/>
            <w:hideMark/>
          </w:tcPr>
          <w:p>
            <w:pPr>
              <w:jc w:val="right"/>
              <w:rPr>
                <w:b/>
                <w:bCs/>
                <w:noProof/>
                <w:sz w:val="20"/>
                <w:szCs w:val="20"/>
                <w:lang w:val="sr-Cyrl-CS"/>
              </w:rPr>
            </w:pPr>
            <w:r>
              <w:rPr>
                <w:b/>
                <w:bCs/>
                <w:noProof/>
                <w:sz w:val="20"/>
                <w:szCs w:val="20"/>
                <w:lang w:val="sr-Cyrl-CS"/>
              </w:rPr>
              <w:t>1 - ИЗНОС УКУПНО</w:t>
            </w:r>
          </w:p>
        </w:tc>
        <w:tc>
          <w:tcPr>
            <w:tcW w:w="1417" w:type="dxa"/>
            <w:vAlign w:val="center"/>
            <w:hideMark/>
          </w:tcPr>
          <w:p>
            <w:pPr>
              <w:jc w:val="both"/>
              <w:rPr>
                <w:b/>
                <w:bCs/>
                <w:noProof/>
                <w:sz w:val="20"/>
                <w:szCs w:val="20"/>
                <w:lang w:val="sr-Cyrl-CS"/>
              </w:rPr>
            </w:pPr>
            <w:r>
              <w:rPr>
                <w:b/>
                <w:bCs/>
                <w:noProof/>
                <w:sz w:val="20"/>
                <w:szCs w:val="20"/>
                <w:lang w:val="sr-Cyrl-CS"/>
              </w:rPr>
              <w:t> </w:t>
            </w:r>
          </w:p>
        </w:tc>
        <w:tc>
          <w:tcPr>
            <w:tcW w:w="1417" w:type="dxa"/>
            <w:vAlign w:val="center"/>
            <w:hideMark/>
          </w:tcPr>
          <w:p>
            <w:pPr>
              <w:jc w:val="both"/>
              <w:rPr>
                <w:b/>
                <w:bCs/>
                <w:noProof/>
                <w:sz w:val="20"/>
                <w:szCs w:val="20"/>
                <w:lang w:val="sr-Cyrl-CS"/>
              </w:rPr>
            </w:pPr>
            <w:r>
              <w:rPr>
                <w:b/>
                <w:bCs/>
                <w:noProof/>
                <w:sz w:val="20"/>
                <w:szCs w:val="20"/>
                <w:lang w:val="sr-Cyrl-CS"/>
              </w:rPr>
              <w:t> </w:t>
            </w:r>
          </w:p>
        </w:tc>
        <w:tc>
          <w:tcPr>
            <w:tcW w:w="1271" w:type="dxa"/>
            <w:vAlign w:val="center"/>
            <w:hideMark/>
          </w:tcPr>
          <w:p>
            <w:pPr>
              <w:jc w:val="both"/>
              <w:rPr>
                <w:b/>
                <w:bCs/>
                <w:noProof/>
                <w:sz w:val="20"/>
                <w:szCs w:val="20"/>
                <w:lang w:val="sr-Cyrl-CS"/>
              </w:rPr>
            </w:pPr>
            <w:r>
              <w:rPr>
                <w:b/>
                <w:bCs/>
                <w:noProof/>
                <w:sz w:val="20"/>
                <w:szCs w:val="20"/>
                <w:lang w:val="sr-Cyrl-CS"/>
              </w:rPr>
              <w:t> </w:t>
            </w:r>
          </w:p>
        </w:tc>
        <w:tc>
          <w:tcPr>
            <w:tcW w:w="1276" w:type="dxa"/>
            <w:vAlign w:val="center"/>
            <w:hideMark/>
          </w:tcPr>
          <w:p>
            <w:pPr>
              <w:jc w:val="both"/>
              <w:rPr>
                <w:b/>
                <w:bCs/>
                <w:noProof/>
                <w:sz w:val="20"/>
                <w:szCs w:val="20"/>
                <w:lang w:val="sr-Cyrl-CS"/>
              </w:rPr>
            </w:pPr>
            <w:r>
              <w:rPr>
                <w:b/>
                <w:bCs/>
                <w:noProof/>
                <w:sz w:val="20"/>
                <w:szCs w:val="20"/>
                <w:lang w:val="sr-Cyrl-CS"/>
              </w:rPr>
              <w:t> </w:t>
            </w:r>
          </w:p>
        </w:tc>
      </w:tr>
      <w:tr>
        <w:trPr>
          <w:gridAfter w:val="1"/>
          <w:wAfter w:w="11" w:type="dxa"/>
          <w:trHeight w:val="20"/>
          <w:jc w:val="center"/>
        </w:trPr>
        <w:tc>
          <w:tcPr>
            <w:tcW w:w="5387" w:type="dxa"/>
            <w:vAlign w:val="center"/>
          </w:tcPr>
          <w:p>
            <w:pPr>
              <w:jc w:val="right"/>
              <w:rPr>
                <w:b/>
                <w:bCs/>
                <w:noProof/>
                <w:sz w:val="20"/>
                <w:szCs w:val="20"/>
                <w:lang w:val="sr-Cyrl-CS"/>
              </w:rPr>
            </w:pPr>
            <w:r>
              <w:rPr>
                <w:b/>
                <w:bCs/>
                <w:noProof/>
                <w:sz w:val="20"/>
                <w:szCs w:val="20"/>
                <w:lang w:val="sr-Cyrl-CS"/>
              </w:rPr>
              <w:t>1а) до једне године</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tcPr>
          <w:p>
            <w:pPr>
              <w:jc w:val="right"/>
              <w:rPr>
                <w:b/>
                <w:bCs/>
                <w:noProof/>
                <w:sz w:val="20"/>
                <w:szCs w:val="20"/>
                <w:lang w:val="sr-Cyrl-CS"/>
              </w:rPr>
            </w:pPr>
            <w:r>
              <w:rPr>
                <w:b/>
                <w:bCs/>
                <w:noProof/>
                <w:sz w:val="20"/>
                <w:szCs w:val="20"/>
                <w:lang w:val="sr-Cyrl-CS"/>
              </w:rPr>
              <w:t>1б) преко једне године</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hideMark/>
          </w:tcPr>
          <w:p>
            <w:pPr>
              <w:jc w:val="both"/>
              <w:rPr>
                <w:b/>
                <w:bCs/>
                <w:noProof/>
                <w:sz w:val="20"/>
                <w:szCs w:val="20"/>
                <w:lang w:val="sr-Cyrl-CS"/>
              </w:rPr>
            </w:pPr>
            <w:r>
              <w:rPr>
                <w:b/>
                <w:bCs/>
                <w:noProof/>
                <w:sz w:val="20"/>
                <w:szCs w:val="20"/>
                <w:lang w:val="sr-Cyrl-CS"/>
              </w:rPr>
              <w:t>2 - Депозити по виђењу резидената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централне владе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влада ентитета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влада кантона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општинских влада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фондова за социјално осигурање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Други небанкарски домаћи сектори</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right"/>
              <w:rPr>
                <w:b/>
                <w:bCs/>
                <w:noProof/>
                <w:sz w:val="20"/>
                <w:szCs w:val="20"/>
                <w:lang w:val="sr-Cyrl-CS"/>
              </w:rPr>
            </w:pPr>
            <w:r>
              <w:rPr>
                <w:b/>
                <w:bCs/>
                <w:noProof/>
                <w:sz w:val="20"/>
                <w:szCs w:val="20"/>
                <w:lang w:val="sr-Cyrl-CS"/>
              </w:rPr>
              <w:t>2 - ИЗНОС УКУПНО</w:t>
            </w:r>
          </w:p>
        </w:tc>
        <w:tc>
          <w:tcPr>
            <w:tcW w:w="1417" w:type="dxa"/>
            <w:vAlign w:val="center"/>
            <w:hideMark/>
          </w:tcPr>
          <w:p>
            <w:pPr>
              <w:jc w:val="both"/>
              <w:rPr>
                <w:b/>
                <w:bCs/>
                <w:noProof/>
                <w:sz w:val="20"/>
                <w:szCs w:val="20"/>
                <w:lang w:val="sr-Cyrl-CS"/>
              </w:rPr>
            </w:pPr>
            <w:r>
              <w:rPr>
                <w:b/>
                <w:bCs/>
                <w:noProof/>
                <w:sz w:val="20"/>
                <w:szCs w:val="20"/>
                <w:lang w:val="sr-Cyrl-CS"/>
              </w:rPr>
              <w:t> </w:t>
            </w:r>
          </w:p>
        </w:tc>
        <w:tc>
          <w:tcPr>
            <w:tcW w:w="1417" w:type="dxa"/>
            <w:vAlign w:val="center"/>
            <w:hideMark/>
          </w:tcPr>
          <w:p>
            <w:pPr>
              <w:jc w:val="both"/>
              <w:rPr>
                <w:b/>
                <w:bCs/>
                <w:noProof/>
                <w:sz w:val="20"/>
                <w:szCs w:val="20"/>
                <w:lang w:val="sr-Cyrl-CS"/>
              </w:rPr>
            </w:pPr>
            <w:r>
              <w:rPr>
                <w:b/>
                <w:bCs/>
                <w:noProof/>
                <w:sz w:val="20"/>
                <w:szCs w:val="20"/>
                <w:lang w:val="sr-Cyrl-CS"/>
              </w:rPr>
              <w:t> </w:t>
            </w:r>
          </w:p>
        </w:tc>
        <w:tc>
          <w:tcPr>
            <w:tcW w:w="1271" w:type="dxa"/>
            <w:vAlign w:val="center"/>
            <w:hideMark/>
          </w:tcPr>
          <w:p>
            <w:pPr>
              <w:jc w:val="both"/>
              <w:rPr>
                <w:b/>
                <w:bCs/>
                <w:noProof/>
                <w:sz w:val="20"/>
                <w:szCs w:val="20"/>
                <w:lang w:val="sr-Cyrl-CS"/>
              </w:rPr>
            </w:pPr>
            <w:r>
              <w:rPr>
                <w:b/>
                <w:bCs/>
                <w:noProof/>
                <w:sz w:val="20"/>
                <w:szCs w:val="20"/>
                <w:lang w:val="sr-Cyrl-CS"/>
              </w:rPr>
              <w:t> </w:t>
            </w:r>
          </w:p>
        </w:tc>
        <w:tc>
          <w:tcPr>
            <w:tcW w:w="1276" w:type="dxa"/>
            <w:vAlign w:val="center"/>
            <w:hideMark/>
          </w:tcPr>
          <w:p>
            <w:pPr>
              <w:jc w:val="both"/>
              <w:rPr>
                <w:b/>
                <w:bCs/>
                <w:noProof/>
                <w:sz w:val="20"/>
                <w:szCs w:val="20"/>
                <w:lang w:val="sr-Cyrl-CS"/>
              </w:rPr>
            </w:pPr>
            <w:r>
              <w:rPr>
                <w:b/>
                <w:bCs/>
                <w:noProof/>
                <w:sz w:val="20"/>
                <w:szCs w:val="20"/>
                <w:lang w:val="sr-Cyrl-CS"/>
              </w:rPr>
              <w:t> </w:t>
            </w:r>
          </w:p>
        </w:tc>
      </w:tr>
      <w:tr>
        <w:trPr>
          <w:gridAfter w:val="1"/>
          <w:wAfter w:w="11" w:type="dxa"/>
          <w:trHeight w:val="20"/>
          <w:jc w:val="center"/>
        </w:trPr>
        <w:tc>
          <w:tcPr>
            <w:tcW w:w="5387" w:type="dxa"/>
            <w:vAlign w:val="center"/>
            <w:hideMark/>
          </w:tcPr>
          <w:p>
            <w:pPr>
              <w:jc w:val="both"/>
              <w:rPr>
                <w:b/>
                <w:bCs/>
                <w:noProof/>
                <w:sz w:val="20"/>
                <w:szCs w:val="20"/>
                <w:lang w:val="sr-Cyrl-CS"/>
              </w:rPr>
            </w:pPr>
            <w:r>
              <w:rPr>
                <w:b/>
                <w:bCs/>
                <w:noProof/>
                <w:sz w:val="20"/>
                <w:szCs w:val="20"/>
                <w:lang w:val="sr-Cyrl-CS"/>
              </w:rPr>
              <w:t xml:space="preserve">3 - Орочени и штедни депозити резидената </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До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централне владе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влада ентитета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влада кантона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 xml:space="preserve">Депозити општинских влада </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фондова за социјално осигурање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Други небанкарски домаћи сектори</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Преко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централне владе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влада ентитета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влада кантона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 xml:space="preserve">Депозити општинских влада </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Депозити фондова за социјално осигурање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20"/>
                <w:szCs w:val="20"/>
                <w:lang w:val="sr-Cyrl-CS"/>
              </w:rPr>
              <w:t>Други небанкарски домаћи сектори</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right"/>
              <w:rPr>
                <w:b/>
                <w:bCs/>
                <w:noProof/>
                <w:sz w:val="20"/>
                <w:szCs w:val="20"/>
                <w:lang w:val="sr-Cyrl-CS"/>
              </w:rPr>
            </w:pPr>
            <w:r>
              <w:rPr>
                <w:b/>
                <w:bCs/>
                <w:noProof/>
                <w:sz w:val="20"/>
                <w:szCs w:val="20"/>
                <w:lang w:val="sr-Cyrl-CS"/>
              </w:rPr>
              <w:t>3 - ИЗНОС УКУПНО</w:t>
            </w:r>
          </w:p>
        </w:tc>
        <w:tc>
          <w:tcPr>
            <w:tcW w:w="1417" w:type="dxa"/>
            <w:vAlign w:val="center"/>
            <w:hideMark/>
          </w:tcPr>
          <w:p>
            <w:pPr>
              <w:jc w:val="both"/>
              <w:rPr>
                <w:b/>
                <w:bCs/>
                <w:noProof/>
                <w:sz w:val="20"/>
                <w:szCs w:val="20"/>
                <w:lang w:val="sr-Cyrl-CS"/>
              </w:rPr>
            </w:pPr>
            <w:r>
              <w:rPr>
                <w:b/>
                <w:bCs/>
                <w:noProof/>
                <w:sz w:val="20"/>
                <w:szCs w:val="20"/>
                <w:lang w:val="sr-Cyrl-CS"/>
              </w:rPr>
              <w:t> </w:t>
            </w:r>
          </w:p>
        </w:tc>
        <w:tc>
          <w:tcPr>
            <w:tcW w:w="1417" w:type="dxa"/>
            <w:vAlign w:val="center"/>
            <w:hideMark/>
          </w:tcPr>
          <w:p>
            <w:pPr>
              <w:jc w:val="both"/>
              <w:rPr>
                <w:b/>
                <w:bCs/>
                <w:noProof/>
                <w:sz w:val="20"/>
                <w:szCs w:val="20"/>
                <w:lang w:val="sr-Cyrl-CS"/>
              </w:rPr>
            </w:pPr>
            <w:r>
              <w:rPr>
                <w:b/>
                <w:bCs/>
                <w:noProof/>
                <w:sz w:val="20"/>
                <w:szCs w:val="20"/>
                <w:lang w:val="sr-Cyrl-CS"/>
              </w:rPr>
              <w:t> </w:t>
            </w:r>
          </w:p>
        </w:tc>
        <w:tc>
          <w:tcPr>
            <w:tcW w:w="1271" w:type="dxa"/>
            <w:vAlign w:val="center"/>
            <w:hideMark/>
          </w:tcPr>
          <w:p>
            <w:pPr>
              <w:jc w:val="both"/>
              <w:rPr>
                <w:b/>
                <w:bCs/>
                <w:noProof/>
                <w:sz w:val="20"/>
                <w:szCs w:val="20"/>
                <w:lang w:val="sr-Cyrl-CS"/>
              </w:rPr>
            </w:pPr>
            <w:r>
              <w:rPr>
                <w:b/>
                <w:bCs/>
                <w:noProof/>
                <w:sz w:val="20"/>
                <w:szCs w:val="20"/>
                <w:lang w:val="sr-Cyrl-CS"/>
              </w:rPr>
              <w:t> </w:t>
            </w:r>
          </w:p>
        </w:tc>
        <w:tc>
          <w:tcPr>
            <w:tcW w:w="1276" w:type="dxa"/>
            <w:vAlign w:val="center"/>
            <w:hideMark/>
          </w:tcPr>
          <w:p>
            <w:pPr>
              <w:jc w:val="both"/>
              <w:rPr>
                <w:b/>
                <w:bCs/>
                <w:noProof/>
                <w:sz w:val="20"/>
                <w:szCs w:val="20"/>
                <w:lang w:val="sr-Cyrl-CS"/>
              </w:rPr>
            </w:pPr>
            <w:r>
              <w:rPr>
                <w:b/>
                <w:bCs/>
                <w:noProof/>
                <w:sz w:val="20"/>
                <w:szCs w:val="20"/>
                <w:lang w:val="sr-Cyrl-CS"/>
              </w:rPr>
              <w:t> </w:t>
            </w:r>
          </w:p>
        </w:tc>
      </w:tr>
      <w:tr>
        <w:trPr>
          <w:gridAfter w:val="1"/>
          <w:wAfter w:w="11" w:type="dxa"/>
          <w:trHeight w:val="20"/>
          <w:jc w:val="center"/>
        </w:trPr>
        <w:tc>
          <w:tcPr>
            <w:tcW w:w="5387" w:type="dxa"/>
            <w:vAlign w:val="center"/>
          </w:tcPr>
          <w:p>
            <w:pPr>
              <w:jc w:val="right"/>
              <w:rPr>
                <w:b/>
                <w:bCs/>
                <w:noProof/>
                <w:sz w:val="20"/>
                <w:szCs w:val="20"/>
                <w:lang w:val="sr-Cyrl-CS"/>
              </w:rPr>
            </w:pPr>
            <w:r>
              <w:rPr>
                <w:b/>
                <w:bCs/>
                <w:noProof/>
                <w:sz w:val="20"/>
                <w:szCs w:val="20"/>
                <w:lang w:val="sr-Cyrl-CS"/>
              </w:rPr>
              <w:t>3а) до једне године</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tcPr>
          <w:p>
            <w:pPr>
              <w:jc w:val="right"/>
              <w:rPr>
                <w:b/>
                <w:bCs/>
                <w:noProof/>
                <w:sz w:val="20"/>
                <w:szCs w:val="20"/>
                <w:lang w:val="sr-Cyrl-CS"/>
              </w:rPr>
            </w:pPr>
            <w:r>
              <w:rPr>
                <w:b/>
                <w:bCs/>
                <w:noProof/>
                <w:sz w:val="20"/>
                <w:szCs w:val="20"/>
                <w:lang w:val="sr-Cyrl-CS"/>
              </w:rPr>
              <w:t>3б) преко једне године</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hideMark/>
          </w:tcPr>
          <w:p>
            <w:pPr>
              <w:jc w:val="both"/>
              <w:rPr>
                <w:b/>
                <w:bCs/>
                <w:noProof/>
                <w:sz w:val="20"/>
                <w:szCs w:val="20"/>
                <w:lang w:val="sr-Cyrl-CS"/>
              </w:rPr>
            </w:pPr>
            <w:r>
              <w:rPr>
                <w:b/>
                <w:bCs/>
                <w:noProof/>
                <w:sz w:val="20"/>
                <w:szCs w:val="20"/>
                <w:lang w:val="sr-Cyrl-CS"/>
              </w:rPr>
              <w:lastRenderedPageBreak/>
              <w:t>4 - Ограничени депозити</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а) До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 xml:space="preserve">    б) Преко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right"/>
              <w:rPr>
                <w:b/>
                <w:bCs/>
                <w:noProof/>
                <w:sz w:val="20"/>
                <w:szCs w:val="20"/>
                <w:lang w:val="sr-Cyrl-CS"/>
              </w:rPr>
            </w:pPr>
            <w:r>
              <w:rPr>
                <w:b/>
                <w:bCs/>
                <w:noProof/>
                <w:sz w:val="20"/>
                <w:szCs w:val="20"/>
                <w:lang w:val="sr-Cyrl-CS"/>
              </w:rPr>
              <w:t>4 - ИЗНОС УКУПНО</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b/>
                <w:bCs/>
                <w:noProof/>
                <w:sz w:val="20"/>
                <w:szCs w:val="20"/>
                <w:lang w:val="sr-Cyrl-CS"/>
              </w:rPr>
            </w:pPr>
            <w:r>
              <w:rPr>
                <w:b/>
                <w:bCs/>
                <w:noProof/>
                <w:sz w:val="20"/>
                <w:szCs w:val="20"/>
                <w:lang w:val="sr-Cyrl-CS"/>
              </w:rPr>
              <w:t xml:space="preserve">5 - Владини фондови за позајмљивање </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а) До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 xml:space="preserve">    б) Преко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right"/>
              <w:rPr>
                <w:b/>
                <w:bCs/>
                <w:noProof/>
                <w:sz w:val="20"/>
                <w:szCs w:val="20"/>
                <w:lang w:val="sr-Cyrl-CS"/>
              </w:rPr>
            </w:pPr>
            <w:r>
              <w:rPr>
                <w:b/>
                <w:bCs/>
                <w:noProof/>
                <w:sz w:val="20"/>
                <w:szCs w:val="20"/>
                <w:lang w:val="sr-Cyrl-CS"/>
              </w:rPr>
              <w:t>5 - ИЗНОС УКУПНО</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tcPr>
          <w:p>
            <w:pPr>
              <w:jc w:val="both"/>
              <w:rPr>
                <w:b/>
                <w:bCs/>
                <w:noProof/>
                <w:sz w:val="20"/>
                <w:szCs w:val="20"/>
                <w:lang w:val="sr-Cyrl-CS"/>
              </w:rPr>
            </w:pPr>
            <w:r>
              <w:rPr>
                <w:b/>
                <w:bCs/>
                <w:noProof/>
                <w:sz w:val="20"/>
                <w:szCs w:val="20"/>
                <w:lang w:val="sr-Cyrl-CS"/>
              </w:rPr>
              <w:t>6. Хартије од вриједности код резидената</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tcPr>
          <w:p>
            <w:pPr>
              <w:jc w:val="center"/>
              <w:rPr>
                <w:b/>
                <w:bCs/>
                <w:noProof/>
                <w:sz w:val="20"/>
                <w:szCs w:val="20"/>
                <w:lang w:val="sr-Cyrl-CS"/>
              </w:rPr>
            </w:pPr>
            <w:r>
              <w:rPr>
                <w:i/>
                <w:iCs/>
                <w:noProof/>
                <w:sz w:val="20"/>
                <w:szCs w:val="20"/>
                <w:lang w:val="sr-Cyrl-CS"/>
              </w:rPr>
              <w:t>а) До једне године</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tcPr>
          <w:p>
            <w:pPr>
              <w:jc w:val="center"/>
              <w:rPr>
                <w:b/>
                <w:bCs/>
                <w:noProof/>
                <w:sz w:val="20"/>
                <w:szCs w:val="20"/>
                <w:lang w:val="sr-Cyrl-CS"/>
              </w:rPr>
            </w:pPr>
            <w:r>
              <w:rPr>
                <w:i/>
                <w:iCs/>
                <w:noProof/>
                <w:sz w:val="20"/>
                <w:szCs w:val="20"/>
                <w:lang w:val="sr-Cyrl-CS"/>
              </w:rPr>
              <w:t>б) Преко једне године</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tcPr>
          <w:p>
            <w:pPr>
              <w:jc w:val="right"/>
              <w:rPr>
                <w:b/>
                <w:bCs/>
                <w:noProof/>
                <w:sz w:val="20"/>
                <w:szCs w:val="20"/>
                <w:lang w:val="sr-Cyrl-CS"/>
              </w:rPr>
            </w:pPr>
            <w:r>
              <w:rPr>
                <w:b/>
                <w:bCs/>
                <w:noProof/>
                <w:sz w:val="20"/>
                <w:szCs w:val="20"/>
                <w:lang w:val="sr-Cyrl-CS"/>
              </w:rPr>
              <w:t>6 - ИЗНОС УКУПНО</w:t>
            </w:r>
          </w:p>
        </w:tc>
        <w:tc>
          <w:tcPr>
            <w:tcW w:w="1417" w:type="dxa"/>
            <w:vAlign w:val="center"/>
          </w:tcPr>
          <w:p>
            <w:pPr>
              <w:jc w:val="both"/>
              <w:rPr>
                <w:noProof/>
                <w:sz w:val="20"/>
                <w:szCs w:val="20"/>
                <w:lang w:val="sr-Cyrl-CS"/>
              </w:rPr>
            </w:pPr>
          </w:p>
        </w:tc>
        <w:tc>
          <w:tcPr>
            <w:tcW w:w="1417" w:type="dxa"/>
            <w:vAlign w:val="center"/>
          </w:tcPr>
          <w:p>
            <w:pPr>
              <w:jc w:val="both"/>
              <w:rPr>
                <w:noProof/>
                <w:sz w:val="20"/>
                <w:szCs w:val="20"/>
                <w:lang w:val="sr-Cyrl-CS"/>
              </w:rPr>
            </w:pPr>
          </w:p>
        </w:tc>
        <w:tc>
          <w:tcPr>
            <w:tcW w:w="1271" w:type="dxa"/>
            <w:vAlign w:val="center"/>
          </w:tcPr>
          <w:p>
            <w:pPr>
              <w:jc w:val="both"/>
              <w:rPr>
                <w:noProof/>
                <w:sz w:val="20"/>
                <w:szCs w:val="20"/>
                <w:lang w:val="sr-Cyrl-CS"/>
              </w:rPr>
            </w:pPr>
          </w:p>
        </w:tc>
        <w:tc>
          <w:tcPr>
            <w:tcW w:w="1276" w:type="dxa"/>
            <w:vAlign w:val="center"/>
          </w:tcPr>
          <w:p>
            <w:pPr>
              <w:jc w:val="both"/>
              <w:rPr>
                <w:noProof/>
                <w:sz w:val="20"/>
                <w:szCs w:val="20"/>
                <w:lang w:val="sr-Cyrl-CS"/>
              </w:rPr>
            </w:pPr>
          </w:p>
        </w:tc>
      </w:tr>
      <w:tr>
        <w:trPr>
          <w:gridAfter w:val="1"/>
          <w:wAfter w:w="11" w:type="dxa"/>
          <w:trHeight w:val="20"/>
          <w:jc w:val="center"/>
        </w:trPr>
        <w:tc>
          <w:tcPr>
            <w:tcW w:w="5387" w:type="dxa"/>
            <w:vAlign w:val="center"/>
            <w:hideMark/>
          </w:tcPr>
          <w:p>
            <w:pPr>
              <w:jc w:val="both"/>
              <w:rPr>
                <w:b/>
                <w:bCs/>
                <w:noProof/>
                <w:sz w:val="20"/>
                <w:szCs w:val="20"/>
                <w:lang w:val="sr-Cyrl-CS"/>
              </w:rPr>
            </w:pPr>
            <w:r>
              <w:rPr>
                <w:b/>
                <w:bCs/>
                <w:noProof/>
                <w:sz w:val="20"/>
                <w:szCs w:val="20"/>
                <w:lang w:val="sr-Cyrl-CS"/>
              </w:rPr>
              <w:t>7 - Остала пасива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both"/>
              <w:rPr>
                <w:noProof/>
                <w:sz w:val="20"/>
                <w:szCs w:val="20"/>
                <w:lang w:val="sr-Cyrl-CS"/>
              </w:rPr>
            </w:pPr>
            <w:r>
              <w:rPr>
                <w:noProof/>
                <w:sz w:val="18"/>
                <w:szCs w:val="20"/>
                <w:lang w:val="sr-Cyrl-CS"/>
              </w:rPr>
              <w:t>Друго - дио који се односи на позајмице од небанкарских домаћих сектора</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а) До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vAlign w:val="center"/>
            <w:hideMark/>
          </w:tcPr>
          <w:p>
            <w:pPr>
              <w:jc w:val="center"/>
              <w:rPr>
                <w:i/>
                <w:iCs/>
                <w:noProof/>
                <w:sz w:val="20"/>
                <w:szCs w:val="20"/>
                <w:lang w:val="sr-Cyrl-CS"/>
              </w:rPr>
            </w:pPr>
            <w:r>
              <w:rPr>
                <w:i/>
                <w:iCs/>
                <w:noProof/>
                <w:sz w:val="20"/>
                <w:szCs w:val="20"/>
                <w:lang w:val="sr-Cyrl-CS"/>
              </w:rPr>
              <w:t>б) Преко једне године</w:t>
            </w:r>
          </w:p>
        </w:tc>
        <w:tc>
          <w:tcPr>
            <w:tcW w:w="1417" w:type="dxa"/>
            <w:vAlign w:val="center"/>
            <w:hideMark/>
          </w:tcPr>
          <w:p>
            <w:pPr>
              <w:jc w:val="both"/>
              <w:rPr>
                <w:noProof/>
                <w:sz w:val="20"/>
                <w:szCs w:val="20"/>
                <w:lang w:val="sr-Cyrl-CS"/>
              </w:rPr>
            </w:pPr>
            <w:r>
              <w:rPr>
                <w:noProof/>
                <w:sz w:val="20"/>
                <w:szCs w:val="20"/>
                <w:lang w:val="sr-Cyrl-CS"/>
              </w:rPr>
              <w:t> </w:t>
            </w:r>
          </w:p>
        </w:tc>
        <w:tc>
          <w:tcPr>
            <w:tcW w:w="1417" w:type="dxa"/>
            <w:vAlign w:val="center"/>
            <w:hideMark/>
          </w:tcPr>
          <w:p>
            <w:pPr>
              <w:jc w:val="both"/>
              <w:rPr>
                <w:noProof/>
                <w:sz w:val="20"/>
                <w:szCs w:val="20"/>
                <w:lang w:val="sr-Cyrl-CS"/>
              </w:rPr>
            </w:pPr>
            <w:r>
              <w:rPr>
                <w:noProof/>
                <w:sz w:val="20"/>
                <w:szCs w:val="20"/>
                <w:lang w:val="sr-Cyrl-CS"/>
              </w:rPr>
              <w:t> </w:t>
            </w:r>
          </w:p>
        </w:tc>
        <w:tc>
          <w:tcPr>
            <w:tcW w:w="1271" w:type="dxa"/>
            <w:vAlign w:val="center"/>
            <w:hideMark/>
          </w:tcPr>
          <w:p>
            <w:pPr>
              <w:jc w:val="both"/>
              <w:rPr>
                <w:noProof/>
                <w:sz w:val="20"/>
                <w:szCs w:val="20"/>
                <w:lang w:val="sr-Cyrl-CS"/>
              </w:rPr>
            </w:pPr>
            <w:r>
              <w:rPr>
                <w:noProof/>
                <w:sz w:val="20"/>
                <w:szCs w:val="20"/>
                <w:lang w:val="sr-Cyrl-CS"/>
              </w:rPr>
              <w:t> </w:t>
            </w:r>
          </w:p>
        </w:tc>
        <w:tc>
          <w:tcPr>
            <w:tcW w:w="1276" w:type="dxa"/>
            <w:vAlign w:val="center"/>
            <w:hideMark/>
          </w:tcPr>
          <w:p>
            <w:pPr>
              <w:jc w:val="both"/>
              <w:rPr>
                <w:noProof/>
                <w:sz w:val="20"/>
                <w:szCs w:val="20"/>
                <w:lang w:val="sr-Cyrl-CS"/>
              </w:rPr>
            </w:pPr>
            <w:r>
              <w:rPr>
                <w:noProof/>
                <w:sz w:val="20"/>
                <w:szCs w:val="20"/>
                <w:lang w:val="sr-Cyrl-CS"/>
              </w:rPr>
              <w:t> </w:t>
            </w:r>
          </w:p>
        </w:tc>
      </w:tr>
      <w:tr>
        <w:trPr>
          <w:gridAfter w:val="1"/>
          <w:wAfter w:w="11" w:type="dxa"/>
          <w:trHeight w:val="20"/>
          <w:jc w:val="center"/>
        </w:trPr>
        <w:tc>
          <w:tcPr>
            <w:tcW w:w="5387" w:type="dxa"/>
            <w:tcBorders>
              <w:bottom w:val="single" w:sz="4" w:space="0" w:color="auto"/>
            </w:tcBorders>
            <w:vAlign w:val="center"/>
            <w:hideMark/>
          </w:tcPr>
          <w:p>
            <w:pPr>
              <w:jc w:val="right"/>
              <w:rPr>
                <w:b/>
                <w:bCs/>
                <w:noProof/>
                <w:sz w:val="20"/>
                <w:szCs w:val="20"/>
                <w:lang w:val="sr-Cyrl-CS"/>
              </w:rPr>
            </w:pPr>
            <w:r>
              <w:rPr>
                <w:b/>
                <w:bCs/>
                <w:noProof/>
                <w:sz w:val="20"/>
                <w:szCs w:val="20"/>
                <w:lang w:val="sr-Cyrl-CS"/>
              </w:rPr>
              <w:t>7 - ИЗНОС УКУПНО</w:t>
            </w:r>
          </w:p>
        </w:tc>
        <w:tc>
          <w:tcPr>
            <w:tcW w:w="1417"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c>
          <w:tcPr>
            <w:tcW w:w="1417"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c>
          <w:tcPr>
            <w:tcW w:w="1271"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c>
          <w:tcPr>
            <w:tcW w:w="1276"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r>
      <w:tr>
        <w:trPr>
          <w:gridAfter w:val="1"/>
          <w:wAfter w:w="11" w:type="dxa"/>
          <w:trHeight w:val="20"/>
          <w:jc w:val="center"/>
        </w:trPr>
        <w:tc>
          <w:tcPr>
            <w:tcW w:w="5387" w:type="dxa"/>
            <w:tcBorders>
              <w:bottom w:val="single" w:sz="4" w:space="0" w:color="auto"/>
            </w:tcBorders>
            <w:vAlign w:val="center"/>
            <w:hideMark/>
          </w:tcPr>
          <w:p>
            <w:pPr>
              <w:jc w:val="right"/>
              <w:rPr>
                <w:b/>
                <w:noProof/>
                <w:sz w:val="20"/>
                <w:szCs w:val="20"/>
                <w:lang w:val="sr-Cyrl-CS"/>
              </w:rPr>
            </w:pPr>
            <w:r>
              <w:rPr>
                <w:b/>
                <w:bCs/>
                <w:noProof/>
                <w:sz w:val="20"/>
                <w:szCs w:val="20"/>
                <w:lang w:val="sr-Cyrl-CS"/>
              </w:rPr>
              <w:t>УКУПНО (1+2+3+4+5+6+7)</w:t>
            </w:r>
          </w:p>
        </w:tc>
        <w:tc>
          <w:tcPr>
            <w:tcW w:w="1417"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c>
          <w:tcPr>
            <w:tcW w:w="1417"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c>
          <w:tcPr>
            <w:tcW w:w="1271"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c>
          <w:tcPr>
            <w:tcW w:w="1276" w:type="dxa"/>
            <w:tcBorders>
              <w:bottom w:val="single" w:sz="4" w:space="0" w:color="auto"/>
            </w:tcBorders>
            <w:vAlign w:val="center"/>
            <w:hideMark/>
          </w:tcPr>
          <w:p>
            <w:pPr>
              <w:jc w:val="both"/>
              <w:rPr>
                <w:b/>
                <w:bCs/>
                <w:noProof/>
                <w:sz w:val="20"/>
                <w:szCs w:val="20"/>
                <w:lang w:val="sr-Cyrl-CS"/>
              </w:rPr>
            </w:pPr>
            <w:r>
              <w:rPr>
                <w:b/>
                <w:bCs/>
                <w:noProof/>
                <w:sz w:val="20"/>
                <w:szCs w:val="20"/>
                <w:lang w:val="sr-Cyrl-CS"/>
              </w:rPr>
              <w:t> </w:t>
            </w:r>
          </w:p>
        </w:tc>
      </w:tr>
      <w:tr>
        <w:trPr>
          <w:gridAfter w:val="1"/>
          <w:wAfter w:w="11" w:type="dxa"/>
          <w:trHeight w:val="20"/>
          <w:jc w:val="center"/>
        </w:trPr>
        <w:tc>
          <w:tcPr>
            <w:tcW w:w="5387" w:type="dxa"/>
            <w:tcBorders>
              <w:bottom w:val="single" w:sz="4" w:space="0" w:color="auto"/>
            </w:tcBorders>
            <w:vAlign w:val="center"/>
          </w:tcPr>
          <w:p>
            <w:pPr>
              <w:jc w:val="right"/>
              <w:rPr>
                <w:b/>
                <w:bCs/>
                <w:noProof/>
                <w:sz w:val="20"/>
                <w:szCs w:val="20"/>
                <w:lang w:val="sr-Cyrl-CS"/>
              </w:rPr>
            </w:pPr>
            <w:r>
              <w:rPr>
                <w:b/>
                <w:bCs/>
                <w:noProof/>
                <w:sz w:val="20"/>
                <w:szCs w:val="20"/>
                <w:lang w:val="sr-Cyrl-CS"/>
              </w:rPr>
              <w:t>УКУПНО до 1 године (1а+2+3а+4а+5а+6а+7а)</w:t>
            </w:r>
          </w:p>
        </w:tc>
        <w:tc>
          <w:tcPr>
            <w:tcW w:w="1417" w:type="dxa"/>
            <w:tcBorders>
              <w:bottom w:val="single" w:sz="4" w:space="0" w:color="auto"/>
            </w:tcBorders>
            <w:vAlign w:val="center"/>
          </w:tcPr>
          <w:p>
            <w:pPr>
              <w:jc w:val="both"/>
              <w:rPr>
                <w:b/>
                <w:bCs/>
                <w:noProof/>
                <w:sz w:val="20"/>
                <w:szCs w:val="20"/>
                <w:lang w:val="sr-Cyrl-CS"/>
              </w:rPr>
            </w:pPr>
          </w:p>
        </w:tc>
        <w:tc>
          <w:tcPr>
            <w:tcW w:w="1417" w:type="dxa"/>
            <w:tcBorders>
              <w:bottom w:val="single" w:sz="4" w:space="0" w:color="auto"/>
            </w:tcBorders>
            <w:vAlign w:val="center"/>
          </w:tcPr>
          <w:p>
            <w:pPr>
              <w:jc w:val="both"/>
              <w:rPr>
                <w:b/>
                <w:bCs/>
                <w:noProof/>
                <w:sz w:val="20"/>
                <w:szCs w:val="20"/>
                <w:lang w:val="sr-Cyrl-CS"/>
              </w:rPr>
            </w:pPr>
          </w:p>
        </w:tc>
        <w:tc>
          <w:tcPr>
            <w:tcW w:w="1271" w:type="dxa"/>
            <w:tcBorders>
              <w:bottom w:val="single" w:sz="4" w:space="0" w:color="auto"/>
            </w:tcBorders>
            <w:vAlign w:val="center"/>
          </w:tcPr>
          <w:p>
            <w:pPr>
              <w:jc w:val="both"/>
              <w:rPr>
                <w:b/>
                <w:bCs/>
                <w:noProof/>
                <w:sz w:val="20"/>
                <w:szCs w:val="20"/>
                <w:lang w:val="sr-Cyrl-CS"/>
              </w:rPr>
            </w:pPr>
          </w:p>
        </w:tc>
        <w:tc>
          <w:tcPr>
            <w:tcW w:w="1276" w:type="dxa"/>
            <w:tcBorders>
              <w:bottom w:val="single" w:sz="4" w:space="0" w:color="auto"/>
            </w:tcBorders>
            <w:vAlign w:val="center"/>
          </w:tcPr>
          <w:p>
            <w:pPr>
              <w:jc w:val="both"/>
              <w:rPr>
                <w:b/>
                <w:bCs/>
                <w:noProof/>
                <w:sz w:val="20"/>
                <w:szCs w:val="20"/>
                <w:lang w:val="sr-Cyrl-CS"/>
              </w:rPr>
            </w:pPr>
          </w:p>
        </w:tc>
      </w:tr>
      <w:tr>
        <w:trPr>
          <w:gridAfter w:val="1"/>
          <w:wAfter w:w="11" w:type="dxa"/>
          <w:trHeight w:val="20"/>
          <w:jc w:val="center"/>
        </w:trPr>
        <w:tc>
          <w:tcPr>
            <w:tcW w:w="5387" w:type="dxa"/>
            <w:tcBorders>
              <w:bottom w:val="single" w:sz="4" w:space="0" w:color="auto"/>
            </w:tcBorders>
            <w:vAlign w:val="center"/>
          </w:tcPr>
          <w:p>
            <w:pPr>
              <w:jc w:val="right"/>
              <w:rPr>
                <w:b/>
                <w:bCs/>
                <w:noProof/>
                <w:sz w:val="20"/>
                <w:szCs w:val="20"/>
                <w:lang w:val="sr-Cyrl-CS"/>
              </w:rPr>
            </w:pPr>
            <w:r>
              <w:rPr>
                <w:b/>
                <w:bCs/>
                <w:noProof/>
                <w:sz w:val="20"/>
                <w:szCs w:val="20"/>
                <w:lang w:val="sr-Cyrl-CS"/>
              </w:rPr>
              <w:t>УКУПНО преко 1 године (1б+3б+4б+5б+6б+7б)</w:t>
            </w:r>
          </w:p>
        </w:tc>
        <w:tc>
          <w:tcPr>
            <w:tcW w:w="1417" w:type="dxa"/>
            <w:tcBorders>
              <w:bottom w:val="single" w:sz="4" w:space="0" w:color="auto"/>
            </w:tcBorders>
            <w:vAlign w:val="center"/>
          </w:tcPr>
          <w:p>
            <w:pPr>
              <w:jc w:val="both"/>
              <w:rPr>
                <w:b/>
                <w:bCs/>
                <w:noProof/>
                <w:sz w:val="20"/>
                <w:szCs w:val="20"/>
                <w:lang w:val="sr-Cyrl-CS"/>
              </w:rPr>
            </w:pPr>
          </w:p>
        </w:tc>
        <w:tc>
          <w:tcPr>
            <w:tcW w:w="1417" w:type="dxa"/>
            <w:tcBorders>
              <w:bottom w:val="single" w:sz="4" w:space="0" w:color="auto"/>
            </w:tcBorders>
            <w:vAlign w:val="center"/>
          </w:tcPr>
          <w:p>
            <w:pPr>
              <w:jc w:val="both"/>
              <w:rPr>
                <w:b/>
                <w:bCs/>
                <w:noProof/>
                <w:sz w:val="20"/>
                <w:szCs w:val="20"/>
                <w:lang w:val="sr-Cyrl-CS"/>
              </w:rPr>
            </w:pPr>
          </w:p>
        </w:tc>
        <w:tc>
          <w:tcPr>
            <w:tcW w:w="1271" w:type="dxa"/>
            <w:tcBorders>
              <w:bottom w:val="single" w:sz="4" w:space="0" w:color="auto"/>
            </w:tcBorders>
            <w:vAlign w:val="center"/>
          </w:tcPr>
          <w:p>
            <w:pPr>
              <w:jc w:val="both"/>
              <w:rPr>
                <w:b/>
                <w:bCs/>
                <w:noProof/>
                <w:sz w:val="20"/>
                <w:szCs w:val="20"/>
                <w:lang w:val="sr-Cyrl-CS"/>
              </w:rPr>
            </w:pPr>
          </w:p>
        </w:tc>
        <w:tc>
          <w:tcPr>
            <w:tcW w:w="1276" w:type="dxa"/>
            <w:tcBorders>
              <w:bottom w:val="single" w:sz="4" w:space="0" w:color="auto"/>
            </w:tcBorders>
            <w:vAlign w:val="center"/>
          </w:tcPr>
          <w:p>
            <w:pPr>
              <w:jc w:val="both"/>
              <w:rPr>
                <w:b/>
                <w:bCs/>
                <w:noProof/>
                <w:sz w:val="20"/>
                <w:szCs w:val="20"/>
                <w:lang w:val="sr-Cyrl-CS"/>
              </w:rPr>
            </w:pPr>
          </w:p>
        </w:tc>
      </w:tr>
      <w:tr>
        <w:trPr>
          <w:gridAfter w:val="1"/>
          <w:wAfter w:w="11" w:type="dxa"/>
          <w:trHeight w:val="20"/>
          <w:jc w:val="center"/>
        </w:trPr>
        <w:tc>
          <w:tcPr>
            <w:tcW w:w="5387" w:type="dxa"/>
            <w:tcBorders>
              <w:top w:val="nil"/>
              <w:left w:val="nil"/>
              <w:bottom w:val="nil"/>
              <w:right w:val="nil"/>
            </w:tcBorders>
            <w:vAlign w:val="center"/>
          </w:tcPr>
          <w:p>
            <w:pPr>
              <w:jc w:val="both"/>
              <w:rPr>
                <w:noProof/>
                <w:sz w:val="20"/>
                <w:szCs w:val="20"/>
                <w:lang w:val="sr-Cyrl-CS"/>
              </w:rPr>
            </w:pPr>
            <w:r>
              <w:rPr>
                <w:noProof/>
                <w:sz w:val="20"/>
                <w:szCs w:val="20"/>
                <w:lang w:val="sr-Cyrl-CS"/>
              </w:rPr>
              <w:t>Мјесто, датум:</w:t>
            </w:r>
          </w:p>
        </w:tc>
        <w:tc>
          <w:tcPr>
            <w:tcW w:w="1417" w:type="dxa"/>
            <w:tcBorders>
              <w:top w:val="nil"/>
              <w:left w:val="nil"/>
              <w:bottom w:val="nil"/>
              <w:right w:val="nil"/>
            </w:tcBorders>
            <w:vAlign w:val="center"/>
          </w:tcPr>
          <w:p>
            <w:pPr>
              <w:jc w:val="both"/>
              <w:rPr>
                <w:noProof/>
                <w:sz w:val="20"/>
                <w:szCs w:val="20"/>
                <w:lang w:val="sr-Cyrl-CS"/>
              </w:rPr>
            </w:pPr>
            <w:r>
              <w:rPr>
                <w:noProof/>
                <w:sz w:val="20"/>
                <w:szCs w:val="20"/>
                <w:lang w:val="sr-Cyrl-CS"/>
              </w:rPr>
              <w:t>М.П.</w:t>
            </w:r>
          </w:p>
        </w:tc>
        <w:tc>
          <w:tcPr>
            <w:tcW w:w="3964" w:type="dxa"/>
            <w:gridSpan w:val="3"/>
            <w:tcBorders>
              <w:top w:val="nil"/>
              <w:left w:val="nil"/>
              <w:bottom w:val="nil"/>
              <w:right w:val="nil"/>
            </w:tcBorders>
            <w:vAlign w:val="center"/>
          </w:tcPr>
          <w:p>
            <w:pPr>
              <w:jc w:val="both"/>
              <w:rPr>
                <w:noProof/>
                <w:sz w:val="20"/>
                <w:szCs w:val="20"/>
                <w:lang w:val="sr-Cyrl-CS"/>
              </w:rPr>
            </w:pPr>
          </w:p>
          <w:p>
            <w:pPr>
              <w:jc w:val="both"/>
              <w:rPr>
                <w:noProof/>
                <w:sz w:val="20"/>
                <w:szCs w:val="20"/>
                <w:lang w:val="sr-Cyrl-CS"/>
              </w:rPr>
            </w:pPr>
            <w:r>
              <w:rPr>
                <w:noProof/>
                <w:sz w:val="20"/>
                <w:szCs w:val="20"/>
                <w:lang w:val="sr-Cyrl-CS"/>
              </w:rPr>
              <w:t>Потпис одговорног лица:</w:t>
            </w:r>
          </w:p>
          <w:p>
            <w:pPr>
              <w:jc w:val="both"/>
              <w:rPr>
                <w:noProof/>
                <w:sz w:val="20"/>
                <w:szCs w:val="20"/>
                <w:lang w:val="sr-Cyrl-CS"/>
              </w:rPr>
            </w:pPr>
            <w:r>
              <w:rPr>
                <w:noProof/>
                <w:sz w:val="20"/>
                <w:szCs w:val="20"/>
                <w:lang w:val="sr-Cyrl-CS"/>
              </w:rPr>
              <w:t>Име и презиме:</w:t>
            </w:r>
          </w:p>
        </w:tc>
      </w:tr>
      <w:tr>
        <w:trPr>
          <w:gridAfter w:val="1"/>
          <w:wAfter w:w="11" w:type="dxa"/>
          <w:trHeight w:val="20"/>
          <w:jc w:val="center"/>
        </w:trPr>
        <w:tc>
          <w:tcPr>
            <w:tcW w:w="5387" w:type="dxa"/>
            <w:tcBorders>
              <w:top w:val="nil"/>
              <w:left w:val="nil"/>
              <w:bottom w:val="nil"/>
              <w:right w:val="nil"/>
            </w:tcBorders>
            <w:vAlign w:val="center"/>
          </w:tcPr>
          <w:p>
            <w:pPr>
              <w:jc w:val="both"/>
              <w:rPr>
                <w:noProof/>
                <w:sz w:val="20"/>
                <w:szCs w:val="20"/>
                <w:lang w:val="sr-Cyrl-CS"/>
              </w:rPr>
            </w:pPr>
          </w:p>
        </w:tc>
        <w:tc>
          <w:tcPr>
            <w:tcW w:w="1417" w:type="dxa"/>
            <w:tcBorders>
              <w:top w:val="nil"/>
              <w:left w:val="nil"/>
              <w:bottom w:val="nil"/>
              <w:right w:val="nil"/>
            </w:tcBorders>
            <w:vAlign w:val="center"/>
          </w:tcPr>
          <w:p>
            <w:pPr>
              <w:jc w:val="both"/>
              <w:rPr>
                <w:noProof/>
                <w:sz w:val="20"/>
                <w:szCs w:val="20"/>
                <w:lang w:val="sr-Cyrl-CS"/>
              </w:rPr>
            </w:pPr>
          </w:p>
        </w:tc>
        <w:tc>
          <w:tcPr>
            <w:tcW w:w="3964" w:type="dxa"/>
            <w:gridSpan w:val="3"/>
            <w:tcBorders>
              <w:top w:val="nil"/>
              <w:left w:val="nil"/>
              <w:bottom w:val="nil"/>
              <w:right w:val="nil"/>
            </w:tcBorders>
            <w:vAlign w:val="center"/>
          </w:tcPr>
          <w:p>
            <w:pPr>
              <w:jc w:val="both"/>
              <w:rPr>
                <w:noProof/>
                <w:sz w:val="20"/>
                <w:szCs w:val="20"/>
                <w:lang w:val="sr-Cyrl-CS"/>
              </w:rPr>
            </w:pPr>
            <w:r>
              <w:rPr>
                <w:noProof/>
                <w:sz w:val="20"/>
                <w:szCs w:val="20"/>
                <w:lang w:val="sr-Cyrl-CS"/>
              </w:rPr>
              <w:t>Контакт-телефон:</w:t>
            </w:r>
          </w:p>
          <w:p>
            <w:pPr>
              <w:jc w:val="both"/>
              <w:rPr>
                <w:noProof/>
                <w:sz w:val="20"/>
                <w:szCs w:val="20"/>
                <w:lang w:val="sr-Cyrl-CS"/>
              </w:rPr>
            </w:pPr>
          </w:p>
          <w:p>
            <w:pPr>
              <w:jc w:val="both"/>
              <w:rPr>
                <w:noProof/>
                <w:sz w:val="20"/>
                <w:szCs w:val="20"/>
                <w:lang w:val="sr-Cyrl-CS"/>
              </w:rPr>
            </w:pPr>
          </w:p>
          <w:p>
            <w:pPr>
              <w:jc w:val="both"/>
              <w:rPr>
                <w:noProof/>
                <w:sz w:val="20"/>
                <w:szCs w:val="20"/>
                <w:lang w:val="sr-Cyrl-CS"/>
              </w:rPr>
            </w:pPr>
          </w:p>
        </w:tc>
      </w:tr>
      <w:tr>
        <w:trPr>
          <w:trHeight w:val="20"/>
          <w:jc w:val="center"/>
        </w:trPr>
        <w:tc>
          <w:tcPr>
            <w:tcW w:w="10779" w:type="dxa"/>
            <w:gridSpan w:val="6"/>
            <w:tcBorders>
              <w:top w:val="nil"/>
              <w:left w:val="nil"/>
              <w:bottom w:val="nil"/>
              <w:right w:val="nil"/>
            </w:tcBorders>
            <w:noWrap/>
            <w:vAlign w:val="center"/>
          </w:tcPr>
          <w:p>
            <w:pPr>
              <w:jc w:val="both"/>
              <w:rPr>
                <w:noProof/>
                <w:sz w:val="20"/>
                <w:szCs w:val="20"/>
                <w:lang w:val="sr-Cyrl-CS"/>
              </w:rPr>
            </w:pPr>
          </w:p>
        </w:tc>
      </w:tr>
      <w:tr>
        <w:trPr>
          <w:trHeight w:val="20"/>
          <w:jc w:val="center"/>
        </w:trPr>
        <w:tc>
          <w:tcPr>
            <w:tcW w:w="10779" w:type="dxa"/>
            <w:gridSpan w:val="6"/>
            <w:tcBorders>
              <w:top w:val="nil"/>
              <w:left w:val="nil"/>
              <w:bottom w:val="nil"/>
              <w:right w:val="nil"/>
            </w:tcBorders>
            <w:noWrap/>
            <w:vAlign w:val="center"/>
          </w:tcPr>
          <w:p>
            <w:pPr>
              <w:jc w:val="both"/>
              <w:rPr>
                <w:noProof/>
                <w:sz w:val="20"/>
                <w:szCs w:val="20"/>
                <w:lang w:val="sr-Cyrl-CS"/>
              </w:rPr>
            </w:pPr>
            <w:bookmarkStart w:id="4" w:name="_Hlk205300030"/>
          </w:p>
        </w:tc>
      </w:tr>
      <w:bookmarkEnd w:id="4"/>
      <w:tr>
        <w:trPr>
          <w:gridAfter w:val="1"/>
          <w:wAfter w:w="11" w:type="dxa"/>
          <w:jc w:val="center"/>
        </w:trPr>
        <w:tc>
          <w:tcPr>
            <w:tcW w:w="5387" w:type="dxa"/>
            <w:tcBorders>
              <w:top w:val="single" w:sz="4" w:space="0" w:color="auto"/>
            </w:tcBorders>
            <w:vAlign w:val="center"/>
            <w:hideMark/>
          </w:tcPr>
          <w:p>
            <w:pPr>
              <w:jc w:val="center"/>
              <w:rPr>
                <w:b/>
                <w:bCs/>
                <w:noProof/>
                <w:sz w:val="20"/>
                <w:szCs w:val="20"/>
                <w:lang w:val="sr-Cyrl-CS"/>
              </w:rPr>
            </w:pPr>
            <w:r>
              <w:rPr>
                <w:b/>
                <w:bCs/>
                <w:noProof/>
                <w:sz w:val="20"/>
                <w:szCs w:val="20"/>
                <w:lang w:val="sr-Cyrl-CS"/>
              </w:rPr>
              <w:t>ОПИС ПОЗИЦИЈА</w:t>
            </w:r>
          </w:p>
        </w:tc>
        <w:tc>
          <w:tcPr>
            <w:tcW w:w="1417" w:type="dxa"/>
            <w:tcBorders>
              <w:top w:val="single" w:sz="4" w:space="0" w:color="auto"/>
              <w:bottom w:val="single" w:sz="4" w:space="0" w:color="auto"/>
            </w:tcBorders>
            <w:vAlign w:val="center"/>
            <w:hideMark/>
          </w:tcPr>
          <w:p>
            <w:pPr>
              <w:jc w:val="center"/>
              <w:rPr>
                <w:noProof/>
                <w:sz w:val="20"/>
                <w:szCs w:val="20"/>
                <w:lang w:val="sr-Cyrl-CS"/>
              </w:rPr>
            </w:pPr>
            <w:r>
              <w:rPr>
                <w:noProof/>
                <w:sz w:val="20"/>
                <w:szCs w:val="20"/>
                <w:lang w:val="sr-Cyrl-CS"/>
              </w:rPr>
              <w:t xml:space="preserve">Просјечно стање средстава у КМ </w:t>
            </w:r>
          </w:p>
        </w:tc>
        <w:tc>
          <w:tcPr>
            <w:tcW w:w="3964" w:type="dxa"/>
            <w:gridSpan w:val="3"/>
            <w:tcBorders>
              <w:top w:val="single" w:sz="4" w:space="0" w:color="auto"/>
              <w:bottom w:val="single" w:sz="4" w:space="0" w:color="auto"/>
            </w:tcBorders>
            <w:vAlign w:val="center"/>
          </w:tcPr>
          <w:p>
            <w:pPr>
              <w:jc w:val="center"/>
              <w:rPr>
                <w:noProof/>
                <w:sz w:val="20"/>
                <w:szCs w:val="20"/>
                <w:lang w:val="sr-Cyrl-CS"/>
              </w:rPr>
            </w:pPr>
            <w:r>
              <w:rPr>
                <w:noProof/>
                <w:sz w:val="20"/>
                <w:szCs w:val="20"/>
                <w:lang w:val="sr-Cyrl-CS"/>
              </w:rPr>
              <w:t>Просјечно стање средстава у КМ</w:t>
            </w:r>
          </w:p>
        </w:tc>
      </w:tr>
      <w:tr>
        <w:trPr>
          <w:gridAfter w:val="1"/>
          <w:wAfter w:w="11" w:type="dxa"/>
          <w:trHeight w:val="20"/>
          <w:jc w:val="center"/>
        </w:trPr>
        <w:tc>
          <w:tcPr>
            <w:tcW w:w="5387" w:type="dxa"/>
            <w:vMerge w:val="restart"/>
            <w:vAlign w:val="center"/>
            <w:hideMark/>
          </w:tcPr>
          <w:p>
            <w:pPr>
              <w:jc w:val="center"/>
              <w:rPr>
                <w:noProof/>
                <w:sz w:val="20"/>
                <w:szCs w:val="20"/>
                <w:lang w:val="sr-Cyrl-CS"/>
              </w:rPr>
            </w:pPr>
            <w:r>
              <w:rPr>
                <w:b/>
                <w:bCs/>
                <w:noProof/>
                <w:sz w:val="20"/>
                <w:szCs w:val="20"/>
                <w:lang w:val="sr-Cyrl-CS"/>
              </w:rPr>
              <w:t>ОБАВЕЗЕ НА КОЈЕ СЕ НЕ ОБРАЧУНАВА  ОБАВЕЗНА РЕЗЕРВА</w:t>
            </w:r>
          </w:p>
        </w:tc>
        <w:tc>
          <w:tcPr>
            <w:tcW w:w="1417" w:type="dxa"/>
            <w:vMerge w:val="restart"/>
            <w:vAlign w:val="center"/>
            <w:hideMark/>
          </w:tcPr>
          <w:p>
            <w:pPr>
              <w:jc w:val="center"/>
              <w:rPr>
                <w:noProof/>
                <w:sz w:val="20"/>
                <w:szCs w:val="20"/>
                <w:lang w:val="sr-Cyrl-CS"/>
              </w:rPr>
            </w:pPr>
            <w:r>
              <w:rPr>
                <w:noProof/>
                <w:sz w:val="20"/>
                <w:szCs w:val="20"/>
                <w:lang w:val="sr-Cyrl-CS"/>
              </w:rPr>
              <w:t>КМ</w:t>
            </w:r>
          </w:p>
        </w:tc>
        <w:tc>
          <w:tcPr>
            <w:tcW w:w="3964" w:type="dxa"/>
            <w:gridSpan w:val="3"/>
            <w:vAlign w:val="center"/>
            <w:hideMark/>
          </w:tcPr>
          <w:p>
            <w:pPr>
              <w:jc w:val="center"/>
              <w:rPr>
                <w:noProof/>
                <w:sz w:val="20"/>
                <w:szCs w:val="20"/>
                <w:lang w:val="sr-Cyrl-CS"/>
              </w:rPr>
            </w:pPr>
            <w:r>
              <w:rPr>
                <w:noProof/>
                <w:sz w:val="20"/>
                <w:szCs w:val="20"/>
                <w:lang w:val="sr-Cyrl-CS"/>
              </w:rPr>
              <w:t>Остале валуте</w:t>
            </w:r>
          </w:p>
        </w:tc>
      </w:tr>
      <w:tr>
        <w:trPr>
          <w:gridAfter w:val="1"/>
          <w:wAfter w:w="11" w:type="dxa"/>
          <w:trHeight w:val="20"/>
          <w:jc w:val="center"/>
        </w:trPr>
        <w:tc>
          <w:tcPr>
            <w:tcW w:w="5387" w:type="dxa"/>
            <w:vMerge/>
            <w:vAlign w:val="center"/>
            <w:hideMark/>
          </w:tcPr>
          <w:p>
            <w:pPr>
              <w:jc w:val="center"/>
              <w:rPr>
                <w:b/>
                <w:bCs/>
                <w:noProof/>
                <w:sz w:val="20"/>
                <w:szCs w:val="20"/>
                <w:lang w:val="sr-Cyrl-CS"/>
              </w:rPr>
            </w:pPr>
          </w:p>
        </w:tc>
        <w:tc>
          <w:tcPr>
            <w:tcW w:w="1417" w:type="dxa"/>
            <w:vMerge/>
            <w:noWrap/>
            <w:vAlign w:val="center"/>
            <w:hideMark/>
          </w:tcPr>
          <w:p>
            <w:pPr>
              <w:jc w:val="center"/>
              <w:rPr>
                <w:noProof/>
                <w:sz w:val="20"/>
                <w:szCs w:val="20"/>
                <w:lang w:val="sr-Cyrl-CS"/>
              </w:rPr>
            </w:pPr>
          </w:p>
        </w:tc>
        <w:tc>
          <w:tcPr>
            <w:tcW w:w="1417" w:type="dxa"/>
            <w:vAlign w:val="center"/>
            <w:hideMark/>
          </w:tcPr>
          <w:p>
            <w:pPr>
              <w:jc w:val="center"/>
              <w:rPr>
                <w:noProof/>
                <w:sz w:val="19"/>
                <w:szCs w:val="19"/>
                <w:lang w:val="sr-Cyrl-CS"/>
              </w:rPr>
            </w:pPr>
            <w:r>
              <w:rPr>
                <w:noProof/>
                <w:sz w:val="19"/>
                <w:szCs w:val="19"/>
                <w:lang w:val="sr-Cyrl-CS"/>
              </w:rPr>
              <w:t>КМ с валутном клаузулом изражено у КМ</w:t>
            </w:r>
          </w:p>
        </w:tc>
        <w:tc>
          <w:tcPr>
            <w:tcW w:w="1271" w:type="dxa"/>
            <w:vAlign w:val="center"/>
            <w:hideMark/>
          </w:tcPr>
          <w:p>
            <w:pPr>
              <w:jc w:val="center"/>
              <w:rPr>
                <w:noProof/>
                <w:sz w:val="20"/>
                <w:szCs w:val="20"/>
                <w:lang w:val="sr-Cyrl-CS"/>
              </w:rPr>
            </w:pPr>
            <w:r>
              <w:rPr>
                <w:noProof/>
                <w:sz w:val="20"/>
                <w:szCs w:val="20"/>
                <w:lang w:val="sr-Cyrl-CS"/>
              </w:rPr>
              <w:t>Стране валуте изражено у КМ</w:t>
            </w:r>
          </w:p>
        </w:tc>
        <w:tc>
          <w:tcPr>
            <w:tcW w:w="1276" w:type="dxa"/>
            <w:vAlign w:val="center"/>
            <w:hideMark/>
          </w:tcPr>
          <w:p>
            <w:pPr>
              <w:jc w:val="center"/>
              <w:rPr>
                <w:noProof/>
                <w:sz w:val="20"/>
                <w:szCs w:val="20"/>
                <w:lang w:val="sr-Cyrl-CS"/>
              </w:rPr>
            </w:pPr>
            <w:r>
              <w:rPr>
                <w:noProof/>
                <w:sz w:val="20"/>
                <w:szCs w:val="20"/>
                <w:lang w:val="sr-Cyrl-CS"/>
              </w:rPr>
              <w:t>Остале валуте укупно у КМ</w:t>
            </w:r>
          </w:p>
        </w:tc>
      </w:tr>
      <w:tr>
        <w:trPr>
          <w:gridAfter w:val="1"/>
          <w:wAfter w:w="11" w:type="dxa"/>
          <w:trHeight w:val="20"/>
          <w:jc w:val="center"/>
        </w:trPr>
        <w:tc>
          <w:tcPr>
            <w:tcW w:w="5387" w:type="dxa"/>
            <w:vAlign w:val="center"/>
          </w:tcPr>
          <w:p>
            <w:pPr>
              <w:jc w:val="center"/>
              <w:rPr>
                <w:b/>
                <w:bCs/>
                <w:noProof/>
                <w:sz w:val="16"/>
                <w:szCs w:val="16"/>
                <w:lang w:val="sr-Cyrl-CS"/>
              </w:rPr>
            </w:pPr>
          </w:p>
        </w:tc>
        <w:tc>
          <w:tcPr>
            <w:tcW w:w="1417" w:type="dxa"/>
            <w:vAlign w:val="center"/>
          </w:tcPr>
          <w:p>
            <w:pPr>
              <w:jc w:val="center"/>
              <w:rPr>
                <w:noProof/>
                <w:sz w:val="16"/>
                <w:szCs w:val="16"/>
                <w:lang w:val="sr-Cyrl-CS"/>
              </w:rPr>
            </w:pPr>
            <w:r>
              <w:rPr>
                <w:noProof/>
                <w:sz w:val="16"/>
                <w:szCs w:val="16"/>
                <w:lang w:val="sr-Cyrl-CS"/>
              </w:rPr>
              <w:t>1</w:t>
            </w:r>
          </w:p>
        </w:tc>
        <w:tc>
          <w:tcPr>
            <w:tcW w:w="1417" w:type="dxa"/>
            <w:vAlign w:val="center"/>
          </w:tcPr>
          <w:p>
            <w:pPr>
              <w:jc w:val="center"/>
              <w:rPr>
                <w:noProof/>
                <w:sz w:val="16"/>
                <w:szCs w:val="16"/>
                <w:lang w:val="sr-Cyrl-CS"/>
              </w:rPr>
            </w:pPr>
            <w:r>
              <w:rPr>
                <w:noProof/>
                <w:sz w:val="16"/>
                <w:szCs w:val="16"/>
                <w:lang w:val="sr-Cyrl-CS"/>
              </w:rPr>
              <w:t>2</w:t>
            </w:r>
          </w:p>
        </w:tc>
        <w:tc>
          <w:tcPr>
            <w:tcW w:w="1271" w:type="dxa"/>
            <w:vAlign w:val="center"/>
          </w:tcPr>
          <w:p>
            <w:pPr>
              <w:jc w:val="center"/>
              <w:rPr>
                <w:noProof/>
                <w:sz w:val="16"/>
                <w:szCs w:val="16"/>
                <w:lang w:val="sr-Cyrl-CS"/>
              </w:rPr>
            </w:pPr>
            <w:r>
              <w:rPr>
                <w:noProof/>
                <w:sz w:val="16"/>
                <w:szCs w:val="16"/>
                <w:lang w:val="sr-Cyrl-CS"/>
              </w:rPr>
              <w:t>3</w:t>
            </w:r>
          </w:p>
        </w:tc>
        <w:tc>
          <w:tcPr>
            <w:tcW w:w="1276" w:type="dxa"/>
            <w:vAlign w:val="center"/>
          </w:tcPr>
          <w:p>
            <w:pPr>
              <w:jc w:val="center"/>
              <w:rPr>
                <w:noProof/>
                <w:sz w:val="16"/>
                <w:szCs w:val="16"/>
                <w:lang w:val="sr-Cyrl-CS"/>
              </w:rPr>
            </w:pPr>
            <w:r>
              <w:rPr>
                <w:noProof/>
                <w:sz w:val="16"/>
                <w:szCs w:val="16"/>
                <w:lang w:val="sr-Cyrl-CS"/>
              </w:rPr>
              <w:t>4=2+3</w:t>
            </w:r>
          </w:p>
        </w:tc>
      </w:tr>
      <w:tr>
        <w:trPr>
          <w:gridAfter w:val="1"/>
          <w:wAfter w:w="11" w:type="dxa"/>
          <w:trHeight w:val="20"/>
          <w:jc w:val="center"/>
        </w:trPr>
        <w:tc>
          <w:tcPr>
            <w:tcW w:w="5387" w:type="dxa"/>
            <w:vAlign w:val="center"/>
          </w:tcPr>
          <w:p>
            <w:pPr>
              <w:pStyle w:val="ListParagraph"/>
              <w:spacing w:after="0" w:line="240" w:lineRule="auto"/>
              <w:ind w:left="0"/>
              <w:rPr>
                <w:rFonts w:ascii="Times New Roman" w:hAnsi="Times New Roman"/>
                <w:b/>
                <w:bCs/>
                <w:noProof/>
                <w:sz w:val="18"/>
                <w:szCs w:val="18"/>
                <w:lang w:val="sr-Cyrl-CS"/>
              </w:rPr>
            </w:pPr>
            <w:r>
              <w:rPr>
                <w:rFonts w:ascii="Times New Roman" w:hAnsi="Times New Roman"/>
                <w:b/>
                <w:bCs/>
                <w:noProof/>
                <w:sz w:val="18"/>
                <w:szCs w:val="18"/>
              </w:rPr>
              <w:t>I</w:t>
            </w:r>
            <w:r>
              <w:rPr>
                <w:rFonts w:ascii="Times New Roman" w:hAnsi="Times New Roman"/>
                <w:b/>
                <w:bCs/>
                <w:noProof/>
                <w:sz w:val="18"/>
                <w:szCs w:val="18"/>
                <w:lang w:val="sr-Cyrl-CS"/>
              </w:rPr>
              <w:t xml:space="preserve"> Обавезе према банкама које држе обавезне резерве код ЦББХ</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gridAfter w:val="1"/>
          <w:wAfter w:w="11" w:type="dxa"/>
          <w:trHeight w:val="20"/>
          <w:jc w:val="center"/>
        </w:trPr>
        <w:tc>
          <w:tcPr>
            <w:tcW w:w="5387" w:type="dxa"/>
            <w:vAlign w:val="center"/>
          </w:tcPr>
          <w:p>
            <w:pPr>
              <w:pStyle w:val="ListParagraph"/>
              <w:numPr>
                <w:ilvl w:val="0"/>
                <w:numId w:val="5"/>
              </w:numPr>
              <w:spacing w:after="0" w:line="240" w:lineRule="auto"/>
              <w:rPr>
                <w:rFonts w:ascii="Times New Roman" w:hAnsi="Times New Roman"/>
                <w:noProof/>
                <w:sz w:val="18"/>
                <w:szCs w:val="18"/>
                <w:lang w:val="sr-Cyrl-CS"/>
              </w:rPr>
            </w:pPr>
            <w:r>
              <w:rPr>
                <w:rFonts w:ascii="Times New Roman" w:hAnsi="Times New Roman"/>
                <w:noProof/>
                <w:sz w:val="18"/>
                <w:szCs w:val="18"/>
                <w:lang w:val="sr-Cyrl-CS"/>
              </w:rPr>
              <w:t>депозити</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gridAfter w:val="1"/>
          <w:wAfter w:w="11" w:type="dxa"/>
          <w:trHeight w:val="20"/>
          <w:jc w:val="center"/>
        </w:trPr>
        <w:tc>
          <w:tcPr>
            <w:tcW w:w="5387" w:type="dxa"/>
            <w:vAlign w:val="center"/>
          </w:tcPr>
          <w:p>
            <w:pPr>
              <w:pStyle w:val="ListParagraph"/>
              <w:numPr>
                <w:ilvl w:val="0"/>
                <w:numId w:val="5"/>
              </w:numPr>
              <w:spacing w:after="0" w:line="240" w:lineRule="auto"/>
              <w:rPr>
                <w:rFonts w:ascii="Times New Roman" w:hAnsi="Times New Roman"/>
                <w:noProof/>
                <w:sz w:val="18"/>
                <w:szCs w:val="18"/>
                <w:lang w:val="sr-Cyrl-CS"/>
              </w:rPr>
            </w:pPr>
            <w:r>
              <w:rPr>
                <w:rFonts w:ascii="Times New Roman" w:hAnsi="Times New Roman"/>
                <w:noProof/>
                <w:sz w:val="18"/>
                <w:szCs w:val="18"/>
                <w:lang w:val="sr-Cyrl-CS"/>
              </w:rPr>
              <w:t>позајмљена средства</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gridAfter w:val="1"/>
          <w:wAfter w:w="11" w:type="dxa"/>
          <w:trHeight w:val="20"/>
          <w:jc w:val="center"/>
        </w:trPr>
        <w:tc>
          <w:tcPr>
            <w:tcW w:w="5387" w:type="dxa"/>
            <w:vAlign w:val="center"/>
          </w:tcPr>
          <w:p>
            <w:pPr>
              <w:pStyle w:val="ListParagraph"/>
              <w:spacing w:after="0" w:line="240" w:lineRule="auto"/>
              <w:ind w:left="0"/>
              <w:jc w:val="right"/>
              <w:rPr>
                <w:rFonts w:ascii="Times New Roman" w:hAnsi="Times New Roman"/>
                <w:b/>
                <w:bCs/>
                <w:noProof/>
                <w:sz w:val="18"/>
                <w:szCs w:val="18"/>
              </w:rPr>
            </w:pPr>
            <w:r>
              <w:rPr>
                <w:rFonts w:ascii="Times New Roman" w:hAnsi="Times New Roman"/>
                <w:b/>
                <w:bCs/>
                <w:noProof/>
                <w:sz w:val="18"/>
                <w:szCs w:val="18"/>
                <w:lang w:val="sr-Cyrl-CS"/>
              </w:rPr>
              <w:t xml:space="preserve">УКУПНО </w:t>
            </w:r>
            <w:r>
              <w:rPr>
                <w:rFonts w:ascii="Times New Roman" w:hAnsi="Times New Roman"/>
                <w:b/>
                <w:bCs/>
                <w:noProof/>
                <w:sz w:val="18"/>
                <w:szCs w:val="18"/>
              </w:rPr>
              <w:t>I</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gridAfter w:val="1"/>
          <w:wAfter w:w="11" w:type="dxa"/>
          <w:trHeight w:val="20"/>
          <w:jc w:val="center"/>
        </w:trPr>
        <w:tc>
          <w:tcPr>
            <w:tcW w:w="5387" w:type="dxa"/>
            <w:vAlign w:val="center"/>
          </w:tcPr>
          <w:p>
            <w:pPr>
              <w:pStyle w:val="ListParagraph"/>
              <w:spacing w:after="0" w:line="240" w:lineRule="auto"/>
              <w:ind w:left="0"/>
              <w:jc w:val="both"/>
              <w:rPr>
                <w:rFonts w:ascii="Times New Roman" w:hAnsi="Times New Roman"/>
                <w:noProof/>
                <w:sz w:val="18"/>
                <w:szCs w:val="18"/>
                <w:lang w:val="sr-Cyrl-CS"/>
              </w:rPr>
            </w:pPr>
            <w:r>
              <w:rPr>
                <w:rFonts w:ascii="Times New Roman" w:hAnsi="Times New Roman"/>
                <w:b/>
                <w:bCs/>
                <w:noProof/>
                <w:sz w:val="18"/>
                <w:szCs w:val="18"/>
              </w:rPr>
              <w:t>II</w:t>
            </w:r>
            <w:r>
              <w:rPr>
                <w:rFonts w:ascii="Times New Roman" w:hAnsi="Times New Roman"/>
                <w:noProof/>
                <w:sz w:val="18"/>
                <w:szCs w:val="18"/>
                <w:lang w:val="sr-Cyrl-CS"/>
              </w:rPr>
              <w:t xml:space="preserve">  Дугорочни кредити од нерезидената до 1992. године и обавезе по основу старе девизне штедње грађана</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gridAfter w:val="1"/>
          <w:wAfter w:w="11" w:type="dxa"/>
          <w:trHeight w:val="506"/>
          <w:jc w:val="center"/>
        </w:trPr>
        <w:tc>
          <w:tcPr>
            <w:tcW w:w="5387" w:type="dxa"/>
            <w:vAlign w:val="center"/>
          </w:tcPr>
          <w:p>
            <w:pPr>
              <w:pStyle w:val="ListParagraph"/>
              <w:spacing w:after="0" w:line="240" w:lineRule="auto"/>
              <w:ind w:left="0"/>
              <w:jc w:val="both"/>
              <w:rPr>
                <w:rFonts w:ascii="Times New Roman" w:hAnsi="Times New Roman"/>
                <w:noProof/>
                <w:sz w:val="18"/>
                <w:szCs w:val="18"/>
                <w:lang w:val="sr-Cyrl-CS"/>
              </w:rPr>
            </w:pPr>
            <w:r>
              <w:rPr>
                <w:rFonts w:ascii="Times New Roman" w:hAnsi="Times New Roman"/>
                <w:b/>
                <w:bCs/>
                <w:noProof/>
                <w:sz w:val="18"/>
                <w:szCs w:val="18"/>
              </w:rPr>
              <w:t>III</w:t>
            </w:r>
            <w:r>
              <w:rPr>
                <w:rFonts w:ascii="Times New Roman" w:hAnsi="Times New Roman"/>
                <w:noProof/>
                <w:sz w:val="18"/>
                <w:szCs w:val="18"/>
                <w:lang w:val="sr-Cyrl-CS"/>
              </w:rPr>
              <w:t xml:space="preserve"> Кредити ино банака који су добијени преко министарства финансија влада ентитета - банка је само посредник, док је влада ентитета гарант и дужник</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gridAfter w:val="1"/>
          <w:wAfter w:w="11" w:type="dxa"/>
          <w:trHeight w:val="421"/>
          <w:jc w:val="center"/>
        </w:trPr>
        <w:tc>
          <w:tcPr>
            <w:tcW w:w="5387" w:type="dxa"/>
            <w:vAlign w:val="center"/>
          </w:tcPr>
          <w:p>
            <w:pPr>
              <w:jc w:val="right"/>
              <w:rPr>
                <w:b/>
                <w:bCs/>
                <w:noProof/>
                <w:sz w:val="18"/>
                <w:szCs w:val="18"/>
                <w:lang w:val="sr-Cyrl-CS"/>
              </w:rPr>
            </w:pPr>
            <w:r>
              <w:rPr>
                <w:b/>
                <w:bCs/>
                <w:noProof/>
                <w:sz w:val="18"/>
                <w:szCs w:val="18"/>
                <w:lang w:val="sr-Cyrl-CS"/>
              </w:rPr>
              <w:t>УКУПНО (</w:t>
            </w:r>
            <w:r>
              <w:rPr>
                <w:b/>
                <w:bCs/>
                <w:noProof/>
                <w:sz w:val="18"/>
                <w:szCs w:val="18"/>
                <w:lang w:val="bs-Latn-BA"/>
              </w:rPr>
              <w:t>I</w:t>
            </w:r>
            <w:r>
              <w:rPr>
                <w:b/>
                <w:bCs/>
                <w:noProof/>
                <w:sz w:val="18"/>
                <w:szCs w:val="18"/>
                <w:lang w:val="sr-Cyrl-CS"/>
              </w:rPr>
              <w:t>+</w:t>
            </w:r>
            <w:r>
              <w:rPr>
                <w:b/>
                <w:bCs/>
                <w:noProof/>
                <w:sz w:val="18"/>
                <w:szCs w:val="18"/>
                <w:lang w:val="bs-Latn-BA"/>
              </w:rPr>
              <w:t>II</w:t>
            </w:r>
            <w:r>
              <w:rPr>
                <w:b/>
                <w:bCs/>
                <w:noProof/>
                <w:sz w:val="18"/>
                <w:szCs w:val="18"/>
                <w:lang w:val="sr-Cyrl-CS"/>
              </w:rPr>
              <w:t>+</w:t>
            </w:r>
            <w:r>
              <w:rPr>
                <w:b/>
                <w:bCs/>
                <w:noProof/>
                <w:sz w:val="18"/>
                <w:szCs w:val="18"/>
                <w:lang w:val="bs-Latn-BA"/>
              </w:rPr>
              <w:t>III</w:t>
            </w:r>
            <w:r>
              <w:rPr>
                <w:b/>
                <w:bCs/>
                <w:noProof/>
                <w:sz w:val="18"/>
                <w:szCs w:val="18"/>
                <w:lang w:val="sr-Cyrl-CS"/>
              </w:rPr>
              <w:t>)</w:t>
            </w:r>
          </w:p>
        </w:tc>
        <w:tc>
          <w:tcPr>
            <w:tcW w:w="1417" w:type="dxa"/>
            <w:vAlign w:val="center"/>
          </w:tcPr>
          <w:p>
            <w:pPr>
              <w:jc w:val="center"/>
              <w:rPr>
                <w:noProof/>
                <w:sz w:val="16"/>
                <w:szCs w:val="16"/>
                <w:lang w:val="sr-Cyrl-CS"/>
              </w:rPr>
            </w:pPr>
          </w:p>
        </w:tc>
        <w:tc>
          <w:tcPr>
            <w:tcW w:w="1417" w:type="dxa"/>
            <w:vAlign w:val="center"/>
          </w:tcPr>
          <w:p>
            <w:pPr>
              <w:jc w:val="center"/>
              <w:rPr>
                <w:noProof/>
                <w:sz w:val="16"/>
                <w:szCs w:val="16"/>
                <w:lang w:val="sr-Cyrl-CS"/>
              </w:rPr>
            </w:pPr>
          </w:p>
        </w:tc>
        <w:tc>
          <w:tcPr>
            <w:tcW w:w="1271" w:type="dxa"/>
            <w:vAlign w:val="center"/>
          </w:tcPr>
          <w:p>
            <w:pPr>
              <w:jc w:val="center"/>
              <w:rPr>
                <w:noProof/>
                <w:sz w:val="16"/>
                <w:szCs w:val="16"/>
                <w:lang w:val="sr-Cyrl-CS"/>
              </w:rPr>
            </w:pPr>
          </w:p>
        </w:tc>
        <w:tc>
          <w:tcPr>
            <w:tcW w:w="1276" w:type="dxa"/>
            <w:vAlign w:val="center"/>
          </w:tcPr>
          <w:p>
            <w:pPr>
              <w:jc w:val="center"/>
              <w:rPr>
                <w:noProof/>
                <w:sz w:val="16"/>
                <w:szCs w:val="16"/>
                <w:lang w:val="sr-Cyrl-CS"/>
              </w:rPr>
            </w:pPr>
          </w:p>
        </w:tc>
      </w:tr>
      <w:tr>
        <w:trPr>
          <w:trHeight w:val="121"/>
          <w:jc w:val="center"/>
        </w:trPr>
        <w:tc>
          <w:tcPr>
            <w:tcW w:w="10779" w:type="dxa"/>
            <w:gridSpan w:val="6"/>
            <w:tcBorders>
              <w:top w:val="nil"/>
              <w:left w:val="nil"/>
              <w:bottom w:val="nil"/>
              <w:right w:val="nil"/>
            </w:tcBorders>
            <w:noWrap/>
            <w:vAlign w:val="center"/>
          </w:tcPr>
          <w:p>
            <w:pPr>
              <w:jc w:val="both"/>
              <w:rPr>
                <w:strike/>
                <w:noProof/>
                <w:sz w:val="20"/>
                <w:szCs w:val="20"/>
                <w:lang w:val="sr-Cyrl-CS"/>
              </w:rPr>
            </w:pPr>
          </w:p>
        </w:tc>
      </w:tr>
      <w:tr>
        <w:trPr>
          <w:trHeight w:val="121"/>
          <w:jc w:val="center"/>
        </w:trPr>
        <w:tc>
          <w:tcPr>
            <w:tcW w:w="10779" w:type="dxa"/>
            <w:gridSpan w:val="6"/>
            <w:tcBorders>
              <w:top w:val="nil"/>
              <w:left w:val="nil"/>
              <w:bottom w:val="nil"/>
              <w:right w:val="nil"/>
            </w:tcBorders>
            <w:noWrap/>
            <w:vAlign w:val="center"/>
          </w:tcPr>
          <w:p>
            <w:pPr>
              <w:jc w:val="both"/>
              <w:rPr>
                <w:noProof/>
                <w:sz w:val="20"/>
                <w:szCs w:val="20"/>
                <w:lang w:val="sr-Cyrl-CS"/>
              </w:rPr>
            </w:pPr>
            <w:r>
              <w:rPr>
                <w:noProof/>
                <w:sz w:val="20"/>
                <w:szCs w:val="20"/>
                <w:lang w:val="sr-Cyrl-CS"/>
              </w:rPr>
              <w:t>Мјесто, датум:                                                                                                                  Одговорн</w:t>
            </w:r>
            <w:r>
              <w:rPr>
                <w:noProof/>
                <w:sz w:val="20"/>
                <w:szCs w:val="20"/>
                <w:lang w:val="bs-Latn-BA"/>
              </w:rPr>
              <w:t>o</w:t>
            </w:r>
            <w:r>
              <w:rPr>
                <w:noProof/>
                <w:sz w:val="20"/>
                <w:szCs w:val="20"/>
                <w:lang w:val="sr-Cyrl-CS"/>
              </w:rPr>
              <w:t xml:space="preserve"> лице: </w:t>
            </w:r>
          </w:p>
        </w:tc>
      </w:tr>
    </w:tbl>
    <w:p>
      <w:pPr>
        <w:tabs>
          <w:tab w:val="center" w:pos="7088"/>
        </w:tabs>
        <w:rPr>
          <w:bCs/>
          <w:noProof/>
          <w:sz w:val="20"/>
          <w:lang w:val="sr-Cyrl-CS"/>
        </w:rPr>
      </w:pPr>
    </w:p>
    <w:sectPr>
      <w:pgSz w:w="11906" w:h="16838" w:code="9"/>
      <w:pgMar w:top="1191" w:right="1440" w:bottom="119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3811216"/>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Cs/>
              </w:rPr>
              <w:fldChar w:fldCharType="begin"/>
            </w:r>
            <w:r>
              <w:rPr>
                <w:bCs/>
              </w:rPr>
              <w:instrText xml:space="preserve"> PAGE </w:instrText>
            </w:r>
            <w:r>
              <w:rPr>
                <w:bCs/>
              </w:rPr>
              <w:fldChar w:fldCharType="separate"/>
            </w:r>
            <w:r>
              <w:rPr>
                <w:bCs/>
                <w:noProof/>
              </w:rPr>
              <w:t>6</w:t>
            </w:r>
            <w:r>
              <w:rPr>
                <w:bCs/>
              </w:rPr>
              <w:fldChar w:fldCharType="end"/>
            </w:r>
            <w:r>
              <w:t xml:space="preserve"> / </w:t>
            </w:r>
            <w:r>
              <w:rPr>
                <w:bCs/>
              </w:rPr>
              <w:fldChar w:fldCharType="begin"/>
            </w:r>
            <w:r>
              <w:rPr>
                <w:bCs/>
              </w:rPr>
              <w:instrText xml:space="preserve"> NUMPAGES  </w:instrText>
            </w:r>
            <w:r>
              <w:rPr>
                <w:bCs/>
              </w:rPr>
              <w:fldChar w:fldCharType="separate"/>
            </w:r>
            <w:r>
              <w:rPr>
                <w:bCs/>
                <w:noProof/>
              </w:rPr>
              <w:t>6</w:t>
            </w:r>
            <w:r>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45F"/>
    <w:multiLevelType w:val="hybridMultilevel"/>
    <w:tmpl w:val="D10C318A"/>
    <w:lvl w:ilvl="0" w:tplc="EEC80D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F4E01"/>
    <w:multiLevelType w:val="hybridMultilevel"/>
    <w:tmpl w:val="73088C94"/>
    <w:lvl w:ilvl="0" w:tplc="8B98BA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213998"/>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488620E"/>
    <w:multiLevelType w:val="hybridMultilevel"/>
    <w:tmpl w:val="21E23C2E"/>
    <w:lvl w:ilvl="0" w:tplc="FCA27604">
      <w:start w:val="1"/>
      <w:numFmt w:val="lowerLetter"/>
      <w:lvlText w:val="%1)"/>
      <w:lvlJc w:val="left"/>
      <w:pPr>
        <w:ind w:left="720" w:hanging="360"/>
      </w:pPr>
      <w:rPr>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15:restartNumberingAfterBreak="0">
    <w:nsid w:val="17486D2E"/>
    <w:multiLevelType w:val="hybridMultilevel"/>
    <w:tmpl w:val="830271B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B705D0D"/>
    <w:multiLevelType w:val="hybridMultilevel"/>
    <w:tmpl w:val="F63888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3FF263A"/>
    <w:multiLevelType w:val="hybridMultilevel"/>
    <w:tmpl w:val="7FC08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30B7D"/>
    <w:multiLevelType w:val="hybridMultilevel"/>
    <w:tmpl w:val="9A06555C"/>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3A4941C0"/>
    <w:multiLevelType w:val="hybridMultilevel"/>
    <w:tmpl w:val="477CC88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52D45DBC"/>
    <w:multiLevelType w:val="hybridMultilevel"/>
    <w:tmpl w:val="6CF221FE"/>
    <w:lvl w:ilvl="0" w:tplc="62F262FA">
      <w:start w:val="18"/>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6041656E"/>
    <w:multiLevelType w:val="hybridMultilevel"/>
    <w:tmpl w:val="0B006CEA"/>
    <w:lvl w:ilvl="0" w:tplc="0409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682E7E6D"/>
    <w:multiLevelType w:val="hybridMultilevel"/>
    <w:tmpl w:val="C0AE623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6A952176"/>
    <w:multiLevelType w:val="hybridMultilevel"/>
    <w:tmpl w:val="F5B0257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7513209B"/>
    <w:multiLevelType w:val="singleLevel"/>
    <w:tmpl w:val="04090019"/>
    <w:lvl w:ilvl="0">
      <w:start w:val="1"/>
      <w:numFmt w:val="lowerLetter"/>
      <w:lvlText w:val="(%1)"/>
      <w:lvlJc w:val="left"/>
      <w:pPr>
        <w:tabs>
          <w:tab w:val="num" w:pos="360"/>
        </w:tabs>
        <w:ind w:left="360" w:hanging="360"/>
      </w:pPr>
    </w:lvl>
  </w:abstractNum>
  <w:abstractNum w:abstractNumId="14" w15:restartNumberingAfterBreak="0">
    <w:nsid w:val="79D06B99"/>
    <w:multiLevelType w:val="hybridMultilevel"/>
    <w:tmpl w:val="341EB35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7D6A2AFD"/>
    <w:multiLevelType w:val="hybridMultilevel"/>
    <w:tmpl w:val="81BA5E56"/>
    <w:lvl w:ilvl="0" w:tplc="DF8CB830">
      <w:start w:val="1"/>
      <w:numFmt w:val="lowerLetter"/>
      <w:lvlText w:val="%1)"/>
      <w:lvlJc w:val="left"/>
      <w:pPr>
        <w:ind w:left="720" w:hanging="360"/>
      </w:pPr>
      <w:rPr>
        <w:rFonts w:eastAsiaTheme="minorHAnsi" w:cstheme="minorBidi"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7F9420FE"/>
    <w:multiLevelType w:val="hybridMultilevel"/>
    <w:tmpl w:val="C21C3D30"/>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13"/>
    <w:lvlOverride w:ilvl="0">
      <w:startOverride w:val="1"/>
    </w:lvlOverride>
  </w:num>
  <w:num w:numId="2">
    <w:abstractNumId w:val="3"/>
  </w:num>
  <w:num w:numId="3">
    <w:abstractNumId w:val="16"/>
  </w:num>
  <w:num w:numId="4">
    <w:abstractNumId w:val="10"/>
  </w:num>
  <w:num w:numId="5">
    <w:abstractNumId w:val="0"/>
  </w:num>
  <w:num w:numId="6">
    <w:abstractNumId w:val="12"/>
  </w:num>
  <w:num w:numId="7">
    <w:abstractNumId w:val="14"/>
  </w:num>
  <w:num w:numId="8">
    <w:abstractNumId w:val="5"/>
  </w:num>
  <w:num w:numId="9">
    <w:abstractNumId w:val="11"/>
  </w:num>
  <w:num w:numId="10">
    <w:abstractNumId w:val="4"/>
  </w:num>
  <w:num w:numId="11">
    <w:abstractNumId w:val="6"/>
  </w:num>
  <w:num w:numId="12">
    <w:abstractNumId w:val="1"/>
  </w:num>
  <w:num w:numId="13">
    <w:abstractNumId w:val="8"/>
  </w:num>
  <w:num w:numId="14">
    <w:abstractNumId w:val="2"/>
  </w:num>
  <w:num w:numId="15">
    <w:abstractNumId w:val="9"/>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34E814-415A-426D-B3AE-79BA18E0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Arial" w:hAnsi="Arial"/>
      <w:szCs w:val="20"/>
      <w:lang w:val="sl-SI"/>
    </w:rPr>
  </w:style>
  <w:style w:type="character" w:customStyle="1" w:styleId="BodyTextChar">
    <w:name w:val="Body Text Char"/>
    <w:basedOn w:val="DefaultParagraphFont"/>
    <w:link w:val="BodyText"/>
    <w:semiHidden/>
    <w:rPr>
      <w:rFonts w:ascii="Arial" w:eastAsia="Times New Roman" w:hAnsi="Arial" w:cs="Times New Roman"/>
      <w:sz w:val="24"/>
      <w:szCs w:val="20"/>
      <w:lang w:val="sl-SI"/>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lang w:val="bs-Latn-BA"/>
    </w:rPr>
  </w:style>
  <w:style w:type="table" w:styleId="TableGrid">
    <w:name w:val="Table Grid"/>
    <w:basedOn w:val="TableNormal"/>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GB"/>
    </w:rPr>
  </w:style>
  <w:style w:type="paragraph" w:styleId="NoSpacing">
    <w:name w:val="No Spacing"/>
    <w:uiPriority w:val="1"/>
    <w:qFormat/>
    <w:pPr>
      <w:spacing w:after="0" w:line="240" w:lineRule="auto"/>
    </w:pPr>
  </w:style>
  <w:style w:type="table" w:customStyle="1" w:styleId="TableGrid11">
    <w:name w:val="Table Grid11"/>
    <w:basedOn w:val="TableNormal"/>
    <w:next w:val="TableGrid"/>
    <w:uiPriority w:val="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2193</Words>
  <Characters>12505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20</cp:revision>
  <cp:lastPrinted>2025-04-09T07:06:00Z</cp:lastPrinted>
  <dcterms:created xsi:type="dcterms:W3CDTF">2025-12-21T09:02:00Z</dcterms:created>
  <dcterms:modified xsi:type="dcterms:W3CDTF">2026-02-11T07:58:00Z</dcterms:modified>
</cp:coreProperties>
</file>