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  <w:lang w:val="sr-Cyrl-BA"/>
        </w:rPr>
        <w:t>temelj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>u članka 2. stavak (3) točka i), članka 7. stavak (1) točka b)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te članaka 59. i 70. Zakona o Centralnoj banci Bosne i Hercegovine (“Službeni glasnik BiH”, 1/97, 29/02, 13/03, 14/03, 9/05, 76/06 i 32/07) i članka 6. stavak (1) točka a) i d) Zakona o zaštiti osobnih podataka (“Službeni glasnik BiH”, 49/06, 76/11 i 89/11), Upravno vijeće Centralne banke Bosne i Hercegovine na 15. sjednici održanoj 26. studenoga 2021. godine, donosi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Odluku 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o izmjenama i dopunama Odluke o Središnjem registru kredita poslovnih subjekata i fizičkih osoba u Bosni i Hercegovini</w:t>
      </w:r>
    </w:p>
    <w:p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</w:pPr>
    </w:p>
    <w:p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</w:pPr>
    </w:p>
    <w:p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  <w:t>Članak 1.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U Odluci o Središnjem registru kredita poslovnih subjekata i fizičkih osoba u Bosni i Hercegovini (“Službeni glasnik BiH”, 44/19), u članku 4.,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točki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37. iza riječi banke, interpunkcijski znak točka se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zamijenjuje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interpunkcijskim znakom zarez, a iza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točke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37. dodaje se nova točka 38. koja glasi: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ˮ38. </w:t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>Broj dana kašnjenja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– upisuje se broj dana kašnjenja izračunan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sukladno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propisima nadležne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entitetske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agencije za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bankarstvo.ˮ</w:t>
      </w:r>
      <w:proofErr w:type="spellEnd"/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  <w:t>Članak 2.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U članku 5.,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točki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35. iza riječi banke interpunkcijski znak točka se zamjenjuje interpunkcijskim znakom zarez, a iza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točke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35. dodaje se nova točka 36. koja glasi: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ˮ36. </w:t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>Broj dana kašnjenja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– upisuje se broj dana kašnjenja izračunan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sukladno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propisima nadležne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entitetske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agencije za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bankarstvo.ˮ</w:t>
      </w:r>
      <w:proofErr w:type="spellEnd"/>
    </w:p>
    <w:p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</w:pPr>
    </w:p>
    <w:p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  <w:t>Članak 3.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(1) U članku 7.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iza stavka (4) dodaju se nove stavke (5), (6) i (7) koje glase: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ˮ(5) Na pisani zahtjev sudionika u registru ili u slučaju neaktivnosti sudionika, Centralna banka će u Središnjem registru kredita izvršiti odgovarajuće promjene, kako bi aktivna zaduženja koja je taj sudionik u registru dostavio u Središnji registar kredita, promijenila status aktivnosti i bila zatvorena. Razlog zatvaranja će u ovom slučaju biti pokazatelj 5 – neaktivan sudionik u registru iz članka 4. točka 33. i članka 5. točka 31. ove odluke. Ostale informacije o zaduženju će biti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nepromijenjene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.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(6) Centralna banka će sudioniku u registru uskratiti pravo pristupa podacima iz Središnjega registra kredita nakon prijema pismenog zahtjeva sudionika ili nakon utvrđivanja neaktivnosti sudionika.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(7) Pod pojmom neaktivan sudionik se podrazumijeva sudionik koji nije ažurirao podatke u registru na način utvrđen u članku 6. stavak (1) odluke, u razdoblju od najmanje 12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mjeseci.ˮ</w:t>
      </w:r>
      <w:proofErr w:type="spellEnd"/>
    </w:p>
    <w:p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Članak 4.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(1)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U članku 9. stavak (1) točka b) mijenja se i glasi: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ˮb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>) sudionici u registru iz članka 3. točka c) ove odluke</w:t>
      </w:r>
      <w:r>
        <w:rPr>
          <w:rFonts w:ascii="Times New Roman" w:hAnsi="Times New Roman" w:cs="Times New Roman"/>
          <w:sz w:val="24"/>
          <w:szCs w:val="24"/>
          <w:lang w:val="sr-Cyrl-BA"/>
        </w:rPr>
        <w:t>,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osim subjekata koji nisu pod nadležnošću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entitetskih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agencija za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bankarstvo,ˮ</w:t>
      </w:r>
      <w:proofErr w:type="spellEnd"/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(2) U stavku (1) u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točki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c) iza riječi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ˮpravobranilaštva,ˮ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dodaju se riječi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ˮnotari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u svojstvu povjerenika suda u svrhu provođenja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ostavinskih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postupaka,ˮ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(3) U stavku (2) riječ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ˮisključivoˮ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briše se.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lastRenderedPageBreak/>
        <w:t>(4) U stavku (3) iza riječi</w:t>
      </w:r>
      <w:r>
        <w:t xml:space="preserve"> </w:t>
      </w:r>
      <w:r>
        <w:rPr>
          <w:rFonts w:cstheme="minorHAnsi"/>
        </w:rPr>
        <w:t>ˮ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Sudionici u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registruˮ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dodaju se riječi: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ˮiz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stavka (1) točka b) ovog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članka,ˮ</w:t>
      </w:r>
      <w:proofErr w:type="spellEnd"/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(5) Stavak (4) mijenja se i glasi: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ˮ(4) Pisana suglasnost poslovnog subjekta mora biti svojeručno potpisana od ovlaštene osobe i ovjerena pečatom tog poslovnog subjekta ili potpisana elektronskim potpisom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sukladno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propisu kojim je uređena oblast elektronskog potpisa u BiH, dok pisana suglasnost fizičke osobe mora biti svojeručno potpisana od strane te fizičke osobe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 mora sadržavati broj njezinog identifikacijskog dokumenta i naziv organa koji ga je izdao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ili potpisana elektronskim potpisom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sukladno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propisu kojim je uređena oblast elektronskog potpisa u BiH</w:t>
      </w:r>
      <w:r>
        <w:t>.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  <w:t>Članak 5.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 članku 10 stavak (5) se mijenja i glasi: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ˮ(5) Pisani zahtjev poslovnog subjekta mora biti svojeručno potpisan od ovlaštene osobe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 ovjeren pečatom tog poslovnog subjekta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ili potpisan elektronskim potpisom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sukladno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propisu kojim je uređena oblast elektronskog potpisa u BiH, dok pisani zahtjev fizičke osobe mora biti svojeručno potpisan od strane te fizičke osobe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 mora sadržavati broj njezinog identifikacijskog dokumenta i naziv organa koji ga je izdao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ili potpisan elektronskim potpisom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sukladno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propisu kojim je uređena oblast elektronskog potpisa 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BiH.ˮ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Članak 6.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Članak 15. mijenja se i glasi: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sr-Latn-BA"/>
        </w:rPr>
        <w:t>ˮČlanak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15.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(1) Centralna banka će na osnovi pisanog zahtjeva nositelja osobnih podataka čiji se osobni podaci prikupljaju i dostavljaju u Središnji registar kredita, pristupiti podacima u Središnjem registru kredita i dostaviti podnositelju zahtjeva, obavještenje o obradi njegovih osobnih podataka,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sukladno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propisu kojim je uređena oblast zaštite osobnih podataka u BiH.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(2) Nositelj osobnih podataka čiji se osobni podaci prikupljaju i dostavljaju u Središnji registar kredita, pisani zahtjev iz stavka (1) ovog članka, može predati osobno na protokol Centralne banke ili dostaviti poštom na adresu Centralne banke.</w:t>
      </w:r>
      <w:r>
        <w:rPr>
          <w:rFonts w:ascii="Times New Roman" w:hAnsi="Times New Roman" w:cs="Times New Roman"/>
          <w:sz w:val="24"/>
          <w:szCs w:val="24"/>
          <w:lang w:val="sr-Cyrl-BA"/>
        </w:rPr>
        <w:t>ˮ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Članak 7.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(1) Ova odluka stupa na snagu osmog dana od dana njenog objavljivanja u “Službenom glasniku BiH“, 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primjenjivat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će se od 17.01.2022.godine.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(2) Ova odluka će se objaviti i u “Službenim novinama Federacije BiH”, “Službenom glasniku Republike Srpske” i “Službenom glasniku Brčko distrikta BiH”.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                                         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Broj: UV-122-01-1-2221-10/21 NG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Predsjedatelj</w:t>
      </w:r>
      <w:proofErr w:type="spellEnd"/>
    </w:p>
    <w:p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Sarajevo, </w:t>
      </w:r>
      <w:r>
        <w:rPr>
          <w:rFonts w:ascii="Times New Roman" w:hAnsi="Times New Roman" w:cs="Times New Roman"/>
          <w:sz w:val="24"/>
          <w:szCs w:val="24"/>
          <w:lang w:val="sr-Latn-BA"/>
        </w:rPr>
        <w:t>26.11.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Latn-BA"/>
        </w:rPr>
        <w:t>2021. godine                                                     Upravnog vijeća Centralne banke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                                           Bosne i Hercegovine 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                                               GUVERNER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                                             dr. Senad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Softić</w:t>
      </w:r>
      <w:proofErr w:type="spellEnd"/>
    </w:p>
    <w:sectPr>
      <w:footerReference w:type="default" r:id="rId8"/>
      <w:pgSz w:w="12240" w:h="15840"/>
      <w:pgMar w:top="1134" w:right="1247" w:bottom="1247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>
      <w:rPr>
        <w:caps/>
      </w:rPr>
      <w:fldChar w:fldCharType="begin"/>
    </w:r>
    <w:r>
      <w:rPr>
        <w:caps/>
      </w:rPr>
      <w:instrText xml:space="preserve"> PAGE   \* MERGEFORMAT </w:instrText>
    </w:r>
    <w:r>
      <w:rPr>
        <w:caps/>
      </w:rPr>
      <w:fldChar w:fldCharType="separate"/>
    </w:r>
    <w:r>
      <w:rPr>
        <w:caps/>
        <w:noProof/>
      </w:rPr>
      <w:t>2</w:t>
    </w:r>
    <w:r>
      <w:rPr>
        <w:caps/>
        <w:noProof/>
      </w:rPr>
      <w:fldChar w:fldCharType="end"/>
    </w:r>
  </w:p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33188"/>
    <w:multiLevelType w:val="hybridMultilevel"/>
    <w:tmpl w:val="3A843668"/>
    <w:lvl w:ilvl="0" w:tplc="B2A02BF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A8499-2ED3-4F9A-835E-8426612B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734A6-5F8E-4C22-9839-D83085C35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Nedjo Gutalj</dc:creator>
  <cp:keywords/>
  <dc:description/>
  <cp:lastModifiedBy>Damir Soco</cp:lastModifiedBy>
  <cp:revision>4</cp:revision>
  <cp:lastPrinted>2021-10-12T13:13:00Z</cp:lastPrinted>
  <dcterms:created xsi:type="dcterms:W3CDTF">2021-12-07T08:10:00Z</dcterms:created>
  <dcterms:modified xsi:type="dcterms:W3CDTF">2021-12-10T10:33:00Z</dcterms:modified>
</cp:coreProperties>
</file>