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Na osnovu člana 2. stav (3) tačka i), člana 7. stav (1) tačka b)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te članova 59. i 70. Zakona o Centralnoj banci Bosne i Hercegovine (“Službeni glasnik BiH”, 1/97, 29/02, 13/03, 14/03, 9/05, 76/06 i 32/07) i člana 6. stav (1) tačka a) i d) Zakona o zaštiti ličnih podataka (“Službeni glasnik BiH”, 49/06, 76/11 i 89/11), Upravno vijeće Centralne banke Bosne i Hercegovine na 15. sjednici održanoj 26. novembra 2021. godine, donosi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Odluku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o izmjenama i dopunama Odluke o Centralnom registru kredita poslovnih subjekata i fizičkih lica u Bosni i Hercegovini</w:t>
      </w: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 1.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Odluci o Centralnom registru kredita poslovnih subjekata i fizičkih lica u Bosni i Hercegovini (“Službeni glasnik BiH”, 44/19), u članu 4., tački 37. iza riječi banke, interpunkcijski znak tačka se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zamijenjuje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interpunkcijskim znakom zarez, a iza tačke 37. dodaje se nova tačka 38. koja glasi: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ˮ38.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Broj dana kašnjenja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– upisuje se broj dana kašnjenja izračunat u skladu sa propisima nadležne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entitetske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agencije 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bankarstvo.ˮ</w:t>
      </w:r>
      <w:proofErr w:type="spellEnd"/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 2.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U članu 5., tački 35. iza riječi banke interpunkcijski znak tačka se zamjenjuje interpunkcijskim znakom zarez, a iza tačke 35. dodaje se nova tačka 36. koja glasi: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ˮ36.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Broj dana kašnjenja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– upisuje se broj dana kašnjenja izračunat u skladu sa propisima nadležne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entitetske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agencije 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bankarstvo.ˮ</w:t>
      </w:r>
      <w:proofErr w:type="spellEnd"/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 3.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(1) U članu 7.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iza stava (4) dodaju se novi stavovi (5), (6) i (7) koji glase: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ˮ(5) Na pisani zahtjev učesnika u registru ili u slučaju neaktivnosti učesnika, Centralna banka će u Centralnom registru kredita izvršiti odgovarajuće promjene, kako bi aktivna zaduženja koja je taj učesnik u registru dostavio u Centralni registar kredita, promijenila status aktivnosti i bila zatvorena. Razlog zatvaranja će u ovom slučaju biti indikator 5 – neaktivan učesnik u registru iz člana 4. tačka 33. i člana 5. tačka 31. ove odluke. Ostale informacije o zaduženju će biti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nepromijenjene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(6) Centralna banka će učesniku u registru uskratiti pravo pristupa podacima iz Centralnog registra kredita nakon prijema pismenog zahtjeva učesnika ili nakon utvrđivanja neaktivnosti učesnika.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(7) Pod pojmom neaktivan učesnik se podrazumijeva učesnik koji nije ažurirao podatke u registru na način utvrđen u članu 6. stav (1) odluke, u periodu od najmanje 12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mjeseci.ˮ</w:t>
      </w:r>
      <w:proofErr w:type="spellEnd"/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4.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U članu 9. stav (1) tačka b) mijenja se i glasi: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ˮb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>) učesnici u registru iz člana 3. tačka c) ove odluke</w:t>
      </w:r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osim subjekata koji nisu pod nadležnošću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entitetskih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agencija za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bankarstvo,ˮ</w:t>
      </w:r>
      <w:proofErr w:type="spellEnd"/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(2) U stavu (1) u tački c) iza riječi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ˮpravobranilaštva,ˮ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dodaju se riječi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ˮnotari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u svojstvu povjerenika suda u svrhu provođenja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ostavinskih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postupaka,ˮ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(3) U stavu (2) riječ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ˮisključivoˮ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briše se.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>(4) U stavu (3) iza riječi</w:t>
      </w:r>
      <w:r>
        <w:t xml:space="preserve"> </w:t>
      </w:r>
      <w:r>
        <w:rPr>
          <w:rFonts w:cstheme="minorHAnsi"/>
        </w:rPr>
        <w:t>ˮ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Učesnici u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registruˮ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dodaju se riječi: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ˮiz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stava (1) tačka b) ovog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člana,ˮ</w:t>
      </w:r>
      <w:proofErr w:type="spellEnd"/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(5) Stav (4) mijenja se i glasi: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ˮ(4) Pisana saglasnost poslovnog subjekta mora biti svojeručno potpisana od ovlaštenog lica i ovjerena pečatom tog poslovnog subjekta ili potpisana elektronskim potpisom u skladu sa propisom kojim je uređena oblast elektronskog potpisa u BiH, dok pisana saglasnost fizičkog lica mora biti svojeručno potpisana od strane tog fizičkog lica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 mora sadržavati broj njegovog identifikacionog dokumenta i naziv organa koji ga je izdao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ili potpisana elektronskim potpisom u skladu sa propisom kojim je uređena oblast elektronskog potpisa u BiH</w:t>
      </w:r>
      <w:r>
        <w:t>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Član 5.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U članu 10 stav (5) se mijenja i glasi: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ˮ(5) Pisani zahtjev poslovnog subjekta mora biti svojeručno potpisan od ovlaštenog lica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 ovjeren pečatom tog poslovnog subjekta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ili potpisan elektronskim potpisom u skladu sa propisom kojim je uređena oblast elektronskog potpisa u BiH, dok pisani zahtjev fizičkog lica mora biti svojeručno potpisan od strane tog fizičkog lica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i mora sadržavati broj njegovog identifikacionog dokumenta i naziv organa koji ga je izdao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ili potpisan elektronskim potpisom u skladu sa propisom kojim je uređena oblast elektronskog potpisa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BiH.ˮ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6.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Član 15. mijenja se i glasi: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Latn-BA"/>
        </w:rPr>
        <w:t>ˮČlan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15.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 Centralna banka će na osnovu pisanog zahtjeva nosioca ličnih podataka čiji se lični podaci prikupljaju i dostavljaju u Centralni registar kredita, pristupiti podacima u Centralnom registru kredita i dostaviti podnosiocu zahtjeva, obavještenje o obradi njegovih ličnih podataka, u skladu sa propisom kojim je uređena oblast zaštite ličnih podataka u BiH.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Nosilac ličnih podataka čiji se lični podaci prikupljaju i dostavljaju u Centralni registar kredita, pisani zahtjev iz stava (1) ovog člana, može predati lično na protokol Centralne banke ili dostaviti poštom na adresu Centralne banke.</w:t>
      </w:r>
      <w:r>
        <w:rPr>
          <w:rFonts w:ascii="Times New Roman" w:hAnsi="Times New Roman" w:cs="Times New Roman"/>
          <w:sz w:val="24"/>
          <w:szCs w:val="24"/>
          <w:lang w:val="sr-Cyrl-BA"/>
        </w:rPr>
        <w:t>ˮ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Član 7.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 Ova odluka stupa na snagu osmog dana od dana njenog objavljivanja u “Službenom glasniku BiH“, a primjenjivaće se od 17.01.2022.godine.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Ova odluka će se objaviti i u “Službenim novinama Federacije BiH”, “Službenom glasniku Republike Srpske” i “Službenom glasniku Brčko distrikta BiH”.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Broj: UV-122</w:t>
      </w:r>
      <w:r>
        <w:rPr>
          <w:rFonts w:ascii="Times New Roman" w:hAnsi="Times New Roman" w:cs="Times New Roman"/>
          <w:sz w:val="24"/>
          <w:szCs w:val="24"/>
          <w:lang w:val="sr-Latn-BA"/>
        </w:rPr>
        <w:t>-01-1-2221-10</w:t>
      </w:r>
      <w:r>
        <w:rPr>
          <w:rFonts w:ascii="Times New Roman" w:hAnsi="Times New Roman" w:cs="Times New Roman"/>
          <w:sz w:val="24"/>
          <w:szCs w:val="24"/>
          <w:lang w:val="sr-Latn-BA"/>
        </w:rPr>
        <w:t>/21 NG                                                        Predsjedavajući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Sarajevo, </w:t>
      </w:r>
      <w:r>
        <w:rPr>
          <w:rFonts w:ascii="Times New Roman" w:hAnsi="Times New Roman" w:cs="Times New Roman"/>
          <w:sz w:val="24"/>
          <w:szCs w:val="24"/>
          <w:lang w:val="sr-Latn-BA"/>
        </w:rPr>
        <w:t>26.11.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BA"/>
        </w:rPr>
        <w:t>2021. godine                                                     Upravnog vijeća Centralne banke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Bosne i Hercegovine 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GUVERNER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dr. Senad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Softić</w:t>
      </w:r>
      <w:proofErr w:type="spellEnd"/>
    </w:p>
    <w:sectPr>
      <w:footerReference w:type="default" r:id="rId8"/>
      <w:pgSz w:w="12240" w:h="15840"/>
      <w:pgMar w:top="1134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fldChar w:fldCharType="begin"/>
    </w:r>
    <w:r>
      <w:rPr>
        <w:caps/>
      </w:rPr>
      <w:instrText xml:space="preserve"> PAGE   \* MERGEFORMAT </w:instrText>
    </w:r>
    <w:r>
      <w:rPr>
        <w:caps/>
      </w:rPr>
      <w:fldChar w:fldCharType="separate"/>
    </w:r>
    <w:r>
      <w:rPr>
        <w:caps/>
        <w:noProof/>
      </w:rPr>
      <w:t>2</w:t>
    </w:r>
    <w:r>
      <w:rPr>
        <w:caps/>
        <w:noProof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3188"/>
    <w:multiLevelType w:val="hybridMultilevel"/>
    <w:tmpl w:val="3A843668"/>
    <w:lvl w:ilvl="0" w:tplc="B2A02BF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A8499-2ED3-4F9A-835E-8426612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9B3F-590B-4015-B7AF-39E4414D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3</cp:revision>
  <cp:lastPrinted>2021-10-12T13:13:00Z</cp:lastPrinted>
  <dcterms:created xsi:type="dcterms:W3CDTF">2021-12-07T08:10:00Z</dcterms:created>
  <dcterms:modified xsi:type="dcterms:W3CDTF">2021-12-10T10:33:00Z</dcterms:modified>
</cp:coreProperties>
</file>