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0" w:line="240" w:lineRule="auto"/>
        <w:jc w:val="right"/>
        <w:outlineLvl w:val="4"/>
        <w:rPr>
          <w:rFonts w:ascii="Times New Roman" w:eastAsia="Times New Roman" w:hAnsi="Times New Roman" w:cs="Times New Roman"/>
          <w:b/>
          <w:bCs/>
          <w:sz w:val="24"/>
          <w:szCs w:val="24"/>
          <w:lang w:val="bs-Latn-BA"/>
        </w:rPr>
      </w:pPr>
      <w:bookmarkStart w:id="0" w:name="_GoBack"/>
      <w:bookmarkEnd w:id="0"/>
    </w:p>
    <w:p>
      <w:pPr>
        <w:widowControl w:val="0"/>
        <w:spacing w:after="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 xml:space="preserve">На основу члана 2. став (3) тачака ц) и и), члана 7. став (1) тачка б) и чланова 59. и 70. Закона о Централној банци Босне и Херцеговине (“Службени гласник БиХ“, бр. 01/97, 29/02, 8/03, 13/03, 14/03, 9/05, 76/06 и 32/07) и члана 6. става (1) тачке а) и д) Закона о заштити личних података (“Службени гласник БиХ”, 49/06, 76/11 и 89/11), Управни одбор Централне банке Босне и </w:t>
      </w:r>
      <w:proofErr w:type="spellStart"/>
      <w:r>
        <w:rPr>
          <w:rFonts w:ascii="Times New Roman" w:eastAsia="Times New Roman" w:hAnsi="Times New Roman" w:cs="Times New Roman"/>
          <w:bCs/>
          <w:sz w:val="24"/>
          <w:szCs w:val="24"/>
          <w:lang w:val="bs-Latn-BA"/>
        </w:rPr>
        <w:t>Херцеговине</w:t>
      </w:r>
      <w:proofErr w:type="spellEnd"/>
      <w:r>
        <w:rPr>
          <w:rFonts w:ascii="Times New Roman" w:eastAsia="Times New Roman" w:hAnsi="Times New Roman" w:cs="Times New Roman"/>
          <w:bCs/>
          <w:sz w:val="24"/>
          <w:szCs w:val="24"/>
          <w:lang w:val="bs-Latn-BA"/>
        </w:rPr>
        <w:t xml:space="preserve">, </w:t>
      </w:r>
      <w:proofErr w:type="spellStart"/>
      <w:r>
        <w:rPr>
          <w:rFonts w:ascii="Times New Roman" w:eastAsia="Times New Roman" w:hAnsi="Times New Roman" w:cs="Times New Roman"/>
          <w:bCs/>
          <w:sz w:val="24"/>
          <w:szCs w:val="24"/>
          <w:lang w:val="bs-Latn-BA"/>
        </w:rPr>
        <w:t>на</w:t>
      </w:r>
      <w:proofErr w:type="spellEnd"/>
      <w:r>
        <w:rPr>
          <w:rFonts w:ascii="Times New Roman" w:eastAsia="Times New Roman" w:hAnsi="Times New Roman" w:cs="Times New Roman"/>
          <w:bCs/>
          <w:sz w:val="24"/>
          <w:szCs w:val="24"/>
          <w:lang w:val="bs-Latn-BA"/>
        </w:rPr>
        <w:t xml:space="preserve"> 8. </w:t>
      </w:r>
      <w:proofErr w:type="spellStart"/>
      <w:r>
        <w:rPr>
          <w:rFonts w:ascii="Times New Roman" w:eastAsia="Times New Roman" w:hAnsi="Times New Roman" w:cs="Times New Roman"/>
          <w:bCs/>
          <w:sz w:val="24"/>
          <w:szCs w:val="24"/>
          <w:lang w:val="bs-Latn-BA"/>
        </w:rPr>
        <w:t>сједници</w:t>
      </w:r>
      <w:proofErr w:type="spellEnd"/>
      <w:r>
        <w:rPr>
          <w:rFonts w:ascii="Times New Roman" w:eastAsia="Times New Roman" w:hAnsi="Times New Roman" w:cs="Times New Roman"/>
          <w:bCs/>
          <w:sz w:val="24"/>
          <w:szCs w:val="24"/>
          <w:lang w:val="bs-Latn-BA"/>
        </w:rPr>
        <w:t xml:space="preserve"> </w:t>
      </w:r>
      <w:proofErr w:type="spellStart"/>
      <w:r>
        <w:rPr>
          <w:rFonts w:ascii="Times New Roman" w:eastAsia="Times New Roman" w:hAnsi="Times New Roman" w:cs="Times New Roman"/>
          <w:bCs/>
          <w:sz w:val="24"/>
          <w:szCs w:val="24"/>
          <w:lang w:val="bs-Latn-BA"/>
        </w:rPr>
        <w:t>одржаној</w:t>
      </w:r>
      <w:proofErr w:type="spellEnd"/>
      <w:r>
        <w:rPr>
          <w:rFonts w:ascii="Times New Roman" w:eastAsia="Times New Roman" w:hAnsi="Times New Roman" w:cs="Times New Roman"/>
          <w:bCs/>
          <w:sz w:val="24"/>
          <w:szCs w:val="24"/>
          <w:lang w:val="bs-Latn-BA"/>
        </w:rPr>
        <w:t xml:space="preserve"> </w:t>
      </w:r>
      <w:proofErr w:type="spellStart"/>
      <w:r>
        <w:rPr>
          <w:rFonts w:ascii="Times New Roman" w:eastAsia="Times New Roman" w:hAnsi="Times New Roman" w:cs="Times New Roman"/>
          <w:bCs/>
          <w:sz w:val="24"/>
          <w:szCs w:val="24"/>
          <w:lang w:val="bs-Latn-BA"/>
        </w:rPr>
        <w:t>дана</w:t>
      </w:r>
      <w:proofErr w:type="spellEnd"/>
      <w:r>
        <w:rPr>
          <w:rFonts w:ascii="Times New Roman" w:eastAsia="Times New Roman" w:hAnsi="Times New Roman" w:cs="Times New Roman"/>
          <w:bCs/>
          <w:sz w:val="24"/>
          <w:szCs w:val="24"/>
          <w:lang w:val="bs-Latn-BA"/>
        </w:rPr>
        <w:t xml:space="preserve"> 22.05.2024. године, доноси</w:t>
      </w:r>
    </w:p>
    <w:p>
      <w:pPr>
        <w:widowControl w:val="0"/>
        <w:spacing w:after="0" w:line="240" w:lineRule="auto"/>
        <w:jc w:val="both"/>
        <w:outlineLvl w:val="4"/>
        <w:rPr>
          <w:rFonts w:ascii="Times New Roman" w:eastAsia="Times New Roman" w:hAnsi="Times New Roman" w:cs="Times New Roman"/>
          <w:bCs/>
          <w:sz w:val="24"/>
          <w:szCs w:val="24"/>
          <w:lang w:val="bs-Latn-BA"/>
        </w:rPr>
      </w:pPr>
    </w:p>
    <w:p>
      <w:pPr>
        <w:widowControl w:val="0"/>
        <w:spacing w:after="0" w:line="240" w:lineRule="auto"/>
        <w:jc w:val="center"/>
        <w:outlineLvl w:val="4"/>
        <w:rPr>
          <w:rFonts w:ascii="Times New Roman" w:eastAsia="Times New Roman" w:hAnsi="Times New Roman" w:cs="Times New Roman"/>
          <w:b/>
          <w:sz w:val="24"/>
          <w:szCs w:val="24"/>
          <w:lang w:val="bs-Latn-BA"/>
        </w:rPr>
      </w:pPr>
    </w:p>
    <w:p>
      <w:pPr>
        <w:widowControl w:val="0"/>
        <w:spacing w:after="0" w:line="240" w:lineRule="auto"/>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ОДЛУКУ</w:t>
      </w:r>
    </w:p>
    <w:p>
      <w:pPr>
        <w:widowControl w:val="0"/>
        <w:spacing w:after="0" w:line="240" w:lineRule="auto"/>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о измјенама и допунама Одлуке о Централном регистру кредита</w:t>
      </w:r>
    </w:p>
    <w:p>
      <w:pPr>
        <w:widowControl w:val="0"/>
        <w:spacing w:after="0" w:line="240" w:lineRule="auto"/>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пословних субјеката и физичких лица у Босни и Херцеговини</w:t>
      </w:r>
    </w:p>
    <w:p>
      <w:pPr>
        <w:widowControl w:val="0"/>
        <w:spacing w:after="0" w:line="240" w:lineRule="auto"/>
        <w:jc w:val="center"/>
        <w:outlineLvl w:val="4"/>
        <w:rPr>
          <w:rFonts w:ascii="Times New Roman" w:eastAsia="Times New Roman" w:hAnsi="Times New Roman" w:cs="Times New Roman"/>
          <w:b/>
          <w:sz w:val="24"/>
          <w:szCs w:val="24"/>
          <w:lang w:val="bs-Latn-BA"/>
        </w:rPr>
      </w:pPr>
    </w:p>
    <w:p>
      <w:pPr>
        <w:widowControl w:val="0"/>
        <w:spacing w:after="0" w:line="240" w:lineRule="auto"/>
        <w:jc w:val="center"/>
        <w:outlineLvl w:val="4"/>
        <w:rPr>
          <w:rFonts w:ascii="Times New Roman" w:eastAsia="Times New Roman" w:hAnsi="Times New Roman" w:cs="Times New Roman"/>
          <w:b/>
          <w:sz w:val="24"/>
          <w:szCs w:val="24"/>
          <w:lang w:val="bs-Latn-BA"/>
        </w:rPr>
      </w:pPr>
    </w:p>
    <w:p>
      <w:pPr>
        <w:widowControl w:val="0"/>
        <w:spacing w:after="120" w:line="240" w:lineRule="auto"/>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Члан 1.</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У Одлуци о Централном регистру кредита пословних субјеката и физичких лица у Босни и Херцеговини (“Службени гласник БиХ”, бр. 44/19 и 77/21) у члану 8. иза става (3) додаје се нови став (4) који гласи:</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“(4) Све акте у вези са дистрибуцијом података из Централног регистра кредита потписује вицегувернер Централне банке надлежан за послове Сектора за статистику, сервисирање спољног дуга, европске интеграције и платне системе.“.</w:t>
      </w:r>
    </w:p>
    <w:p>
      <w:pPr>
        <w:widowControl w:val="0"/>
        <w:spacing w:after="120" w:line="240" w:lineRule="auto"/>
        <w:jc w:val="both"/>
        <w:outlineLvl w:val="4"/>
        <w:rPr>
          <w:rFonts w:ascii="Times New Roman" w:eastAsia="Times New Roman" w:hAnsi="Times New Roman" w:cs="Times New Roman"/>
          <w:bCs/>
          <w:sz w:val="24"/>
          <w:szCs w:val="24"/>
          <w:lang w:val="bs-Latn-BA"/>
        </w:rPr>
      </w:pPr>
    </w:p>
    <w:p>
      <w:pPr>
        <w:widowControl w:val="0"/>
        <w:spacing w:after="120" w:line="240" w:lineRule="auto"/>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Члан 2.</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У члану 9. у ставу (2) ријеч “акта из члана 10. став (3) ове одлуке“ замјењују се ријечима “потпуног и уредног захтјева из члана 10. став (2) ове одлуке“.</w:t>
      </w:r>
    </w:p>
    <w:p>
      <w:pPr>
        <w:widowControl w:val="0"/>
        <w:spacing w:after="120" w:line="240" w:lineRule="auto"/>
        <w:jc w:val="both"/>
        <w:outlineLvl w:val="4"/>
        <w:rPr>
          <w:rFonts w:ascii="Times New Roman" w:eastAsia="Times New Roman" w:hAnsi="Times New Roman" w:cs="Times New Roman"/>
          <w:bCs/>
          <w:sz w:val="24"/>
          <w:szCs w:val="24"/>
          <w:lang w:val="bs-Latn-BA"/>
        </w:rPr>
      </w:pPr>
    </w:p>
    <w:p>
      <w:pPr>
        <w:widowControl w:val="0"/>
        <w:spacing w:after="120" w:line="240" w:lineRule="auto"/>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Члан 3.</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У члану 10. у ставу (3) ријечи “гувернер Централне банке својим појединачним актом одобрава приступ траженим подацима“ замјењују се ријечима “Централна банка ће доставити тражене податке ако је то потребно да би се обавили послови у оквиру законом утврђене надлежности“.</w:t>
      </w:r>
    </w:p>
    <w:p>
      <w:pPr>
        <w:widowControl w:val="0"/>
        <w:spacing w:after="120" w:line="240" w:lineRule="auto"/>
        <w:jc w:val="both"/>
        <w:outlineLvl w:val="4"/>
        <w:rPr>
          <w:rFonts w:ascii="Times New Roman" w:eastAsia="Times New Roman" w:hAnsi="Times New Roman" w:cs="Times New Roman"/>
          <w:bCs/>
          <w:sz w:val="24"/>
          <w:szCs w:val="24"/>
          <w:lang w:val="bs-Latn-BA"/>
        </w:rPr>
      </w:pPr>
    </w:p>
    <w:p>
      <w:pPr>
        <w:widowControl w:val="0"/>
        <w:spacing w:after="120" w:line="240" w:lineRule="auto"/>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Члан 4.</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У члану 15. у ставу (1) иза ријечи “његових личних података“ додају се ријечи “које потписује вицегувернер Централне банке надлежан за послове Сектора за статистику, сервисирање спољног дуга, европске интеграције и платне системе“.</w:t>
      </w:r>
    </w:p>
    <w:p>
      <w:pPr>
        <w:widowControl w:val="0"/>
        <w:spacing w:after="120" w:line="240" w:lineRule="auto"/>
        <w:jc w:val="both"/>
        <w:outlineLvl w:val="4"/>
        <w:rPr>
          <w:rFonts w:ascii="Times New Roman" w:eastAsia="Times New Roman" w:hAnsi="Times New Roman" w:cs="Times New Roman"/>
          <w:bCs/>
          <w:sz w:val="24"/>
          <w:szCs w:val="24"/>
          <w:lang w:val="bs-Latn-BA"/>
        </w:rPr>
      </w:pPr>
    </w:p>
    <w:p>
      <w:pPr>
        <w:widowControl w:val="0"/>
        <w:spacing w:after="120" w:line="240" w:lineRule="auto"/>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Члан 5.</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(1) У члану 16. иза става (1) додаје се нови став (2) који гласи:</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“Уколико Централна банка издаје излазну фактуру за услуге из става (1) овог члана, потписује је вицегувернер Централне банке надлежан за послове Сектора за статистику, сервисирање спољног дуга, европске интеграције и платне системе.“.</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(2) Досадашњи ставови (2), (3) и (4) постају ставови (3), (4) и (5).</w:t>
      </w:r>
    </w:p>
    <w:p>
      <w:pPr>
        <w:widowControl w:val="0"/>
        <w:spacing w:after="120" w:line="240" w:lineRule="auto"/>
        <w:jc w:val="both"/>
        <w:outlineLvl w:val="4"/>
        <w:rPr>
          <w:rFonts w:ascii="Times New Roman" w:eastAsia="Times New Roman" w:hAnsi="Times New Roman" w:cs="Times New Roman"/>
          <w:bCs/>
          <w:sz w:val="24"/>
          <w:szCs w:val="24"/>
          <w:lang w:val="bs-Latn-BA"/>
        </w:rPr>
      </w:pPr>
    </w:p>
    <w:p>
      <w:pPr>
        <w:widowControl w:val="0"/>
        <w:spacing w:after="120" w:line="240" w:lineRule="auto"/>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Члан 6.</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У члану 17. у ставу (4) ријечи “гувернер Централне банке“ замјењују се ријечима “вицегувернер Централне банке надлежан за послове Сектора за статистику, сервисирање спољног дуга, европске интеграције и платне системе“.</w:t>
      </w:r>
    </w:p>
    <w:p>
      <w:pPr>
        <w:widowControl w:val="0"/>
        <w:spacing w:after="120" w:line="240" w:lineRule="auto"/>
        <w:jc w:val="both"/>
        <w:outlineLvl w:val="4"/>
        <w:rPr>
          <w:rFonts w:ascii="Times New Roman" w:eastAsia="Times New Roman" w:hAnsi="Times New Roman" w:cs="Times New Roman"/>
          <w:bCs/>
          <w:sz w:val="24"/>
          <w:szCs w:val="24"/>
          <w:lang w:val="bs-Latn-BA"/>
        </w:rPr>
      </w:pPr>
    </w:p>
    <w:p>
      <w:pPr>
        <w:widowControl w:val="0"/>
        <w:spacing w:after="120" w:line="240" w:lineRule="auto"/>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Члан 7.</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(1) Ова одлука ступа на снагу осмог дана од дана њеног објављивања у “Службеном гласнику БиХ“, а примјењиваће се од 01.07.2024. године.</w:t>
      </w:r>
    </w:p>
    <w:p>
      <w:pPr>
        <w:widowControl w:val="0"/>
        <w:spacing w:after="120" w:line="240" w:lineRule="auto"/>
        <w:jc w:val="both"/>
        <w:outlineLvl w:val="4"/>
        <w:rPr>
          <w:rFonts w:ascii="Times New Roman" w:eastAsia="Times New Roman" w:hAnsi="Times New Roman" w:cs="Times New Roman"/>
          <w:bCs/>
          <w:sz w:val="24"/>
          <w:szCs w:val="24"/>
          <w:lang w:val="bs-Latn-BA"/>
        </w:rPr>
      </w:pPr>
      <w:r>
        <w:rPr>
          <w:rFonts w:ascii="Times New Roman" w:eastAsia="Times New Roman" w:hAnsi="Times New Roman" w:cs="Times New Roman"/>
          <w:bCs/>
          <w:sz w:val="24"/>
          <w:szCs w:val="24"/>
          <w:lang w:val="bs-Latn-BA"/>
        </w:rPr>
        <w:t>(2) Ова одлука ће се објавити и у “Службеним новинама Федерације БиХ”, “Службеном гласнику Републике Српске” и “Службеном гласнику Брчко дистрикта БиХ”.</w:t>
      </w:r>
    </w:p>
    <w:p>
      <w:pPr>
        <w:widowControl w:val="0"/>
        <w:spacing w:after="0" w:line="240" w:lineRule="auto"/>
        <w:jc w:val="both"/>
        <w:outlineLvl w:val="4"/>
        <w:rPr>
          <w:rFonts w:ascii="Times New Roman" w:eastAsia="Times New Roman" w:hAnsi="Times New Roman" w:cs="Times New Roman"/>
          <w:bCs/>
          <w:sz w:val="24"/>
          <w:szCs w:val="24"/>
          <w:lang w:val="bs-Latn-BA"/>
        </w:rPr>
      </w:pPr>
    </w:p>
    <w:p>
      <w:pPr>
        <w:widowControl w:val="0"/>
        <w:spacing w:after="0" w:line="240" w:lineRule="auto"/>
        <w:jc w:val="both"/>
        <w:outlineLvl w:val="4"/>
        <w:rPr>
          <w:rFonts w:ascii="Times New Roman" w:eastAsia="Times New Roman" w:hAnsi="Times New Roman" w:cs="Times New Roman"/>
          <w:bCs/>
          <w:sz w:val="24"/>
          <w:szCs w:val="24"/>
          <w:lang w:val="bs-Latn-BA"/>
        </w:rPr>
      </w:pPr>
    </w:p>
    <w:p>
      <w:pPr>
        <w:widowControl w:val="0"/>
        <w:spacing w:after="0" w:line="240" w:lineRule="auto"/>
        <w:jc w:val="both"/>
        <w:outlineLvl w:val="4"/>
        <w:rPr>
          <w:rFonts w:ascii="Times New Roman" w:eastAsia="Times New Roman" w:hAnsi="Times New Roman" w:cs="Times New Roman"/>
          <w:bCs/>
          <w:sz w:val="24"/>
          <w:szCs w:val="24"/>
          <w:lang w:val="bs-Latn-BA"/>
        </w:rPr>
      </w:pPr>
    </w:p>
    <w:p>
      <w:pPr>
        <w:widowControl w:val="0"/>
        <w:spacing w:after="0" w:line="240" w:lineRule="auto"/>
        <w:ind w:left="4248" w:firstLine="708"/>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Предсједавајућа</w:t>
      </w:r>
    </w:p>
    <w:p>
      <w:pPr>
        <w:widowControl w:val="0"/>
        <w:spacing w:after="0" w:line="240" w:lineRule="auto"/>
        <w:outlineLvl w:val="4"/>
        <w:rPr>
          <w:rFonts w:ascii="Times New Roman" w:eastAsia="Times New Roman" w:hAnsi="Times New Roman" w:cs="Times New Roman"/>
          <w:bCs/>
          <w:sz w:val="24"/>
          <w:szCs w:val="24"/>
          <w:lang w:val="bs-Latn-BA"/>
        </w:rPr>
      </w:pPr>
      <w:proofErr w:type="spellStart"/>
      <w:r>
        <w:rPr>
          <w:rFonts w:ascii="Times New Roman" w:eastAsia="Times New Roman" w:hAnsi="Times New Roman" w:cs="Times New Roman"/>
          <w:bCs/>
          <w:sz w:val="24"/>
          <w:szCs w:val="24"/>
          <w:lang w:val="bs-Latn-BA"/>
        </w:rPr>
        <w:t>Број</w:t>
      </w:r>
      <w:proofErr w:type="spellEnd"/>
      <w:r>
        <w:rPr>
          <w:rFonts w:ascii="Times New Roman" w:eastAsia="Times New Roman" w:hAnsi="Times New Roman" w:cs="Times New Roman"/>
          <w:bCs/>
          <w:sz w:val="24"/>
          <w:szCs w:val="24"/>
          <w:lang w:val="bs-Latn-BA"/>
        </w:rPr>
        <w:t>: УВ-</w:t>
      </w:r>
      <w:r>
        <w:rPr>
          <w:rFonts w:ascii="Times New Roman" w:hAnsi="Times New Roman" w:cs="Times New Roman"/>
          <w:sz w:val="24"/>
          <w:szCs w:val="24"/>
          <w:lang w:val="sr-Latn-BA"/>
        </w:rPr>
        <w:t>122-02-1-1084-3</w:t>
      </w:r>
      <w:r>
        <w:rPr>
          <w:rFonts w:ascii="Times New Roman" w:eastAsia="Times New Roman" w:hAnsi="Times New Roman" w:cs="Times New Roman"/>
          <w:bCs/>
          <w:sz w:val="24"/>
          <w:szCs w:val="24"/>
          <w:lang w:val="bs-Latn-BA"/>
        </w:rPr>
        <w:t>/24</w:t>
      </w:r>
      <w:r>
        <w:rPr>
          <w:rFonts w:ascii="Times New Roman" w:eastAsia="Times New Roman" w:hAnsi="Times New Roman" w:cs="Times New Roman"/>
          <w:bCs/>
          <w:sz w:val="24"/>
          <w:szCs w:val="24"/>
          <w:lang w:val="bs-Latn-BA"/>
        </w:rPr>
        <w:tab/>
      </w:r>
      <w:r>
        <w:rPr>
          <w:rFonts w:ascii="Times New Roman" w:eastAsia="Times New Roman" w:hAnsi="Times New Roman" w:cs="Times New Roman"/>
          <w:bCs/>
          <w:sz w:val="24"/>
          <w:szCs w:val="24"/>
          <w:lang w:val="bs-Latn-BA"/>
        </w:rPr>
        <w:tab/>
      </w:r>
      <w:r>
        <w:rPr>
          <w:rFonts w:ascii="Times New Roman" w:eastAsia="Times New Roman" w:hAnsi="Times New Roman" w:cs="Times New Roman"/>
          <w:bCs/>
          <w:sz w:val="24"/>
          <w:szCs w:val="24"/>
          <w:lang w:val="bs-Latn-BA"/>
        </w:rPr>
        <w:tab/>
      </w:r>
      <w:proofErr w:type="spellStart"/>
      <w:r>
        <w:rPr>
          <w:rFonts w:ascii="Times New Roman" w:eastAsia="Times New Roman" w:hAnsi="Times New Roman" w:cs="Times New Roman"/>
          <w:b/>
          <w:sz w:val="24"/>
          <w:szCs w:val="24"/>
          <w:lang w:val="bs-Latn-BA"/>
        </w:rPr>
        <w:t>Управног</w:t>
      </w:r>
      <w:proofErr w:type="spellEnd"/>
      <w:r>
        <w:rPr>
          <w:rFonts w:ascii="Times New Roman" w:eastAsia="Times New Roman" w:hAnsi="Times New Roman" w:cs="Times New Roman"/>
          <w:b/>
          <w:sz w:val="24"/>
          <w:szCs w:val="24"/>
          <w:lang w:val="bs-Latn-BA"/>
        </w:rPr>
        <w:t xml:space="preserve"> </w:t>
      </w:r>
      <w:proofErr w:type="spellStart"/>
      <w:r>
        <w:rPr>
          <w:rFonts w:ascii="Times New Roman" w:eastAsia="Times New Roman" w:hAnsi="Times New Roman" w:cs="Times New Roman"/>
          <w:b/>
          <w:sz w:val="24"/>
          <w:szCs w:val="24"/>
          <w:lang w:val="bs-Latn-BA"/>
        </w:rPr>
        <w:t>вијећа</w:t>
      </w:r>
      <w:proofErr w:type="spellEnd"/>
      <w:r>
        <w:rPr>
          <w:rFonts w:ascii="Times New Roman" w:eastAsia="Times New Roman" w:hAnsi="Times New Roman" w:cs="Times New Roman"/>
          <w:b/>
          <w:sz w:val="24"/>
          <w:szCs w:val="24"/>
          <w:lang w:val="bs-Latn-BA"/>
        </w:rPr>
        <w:t xml:space="preserve"> </w:t>
      </w:r>
      <w:proofErr w:type="spellStart"/>
      <w:r>
        <w:rPr>
          <w:rFonts w:ascii="Times New Roman" w:eastAsia="Times New Roman" w:hAnsi="Times New Roman" w:cs="Times New Roman"/>
          <w:b/>
          <w:sz w:val="24"/>
          <w:szCs w:val="24"/>
          <w:lang w:val="bs-Latn-BA"/>
        </w:rPr>
        <w:t>Централне</w:t>
      </w:r>
      <w:proofErr w:type="spellEnd"/>
      <w:r>
        <w:rPr>
          <w:rFonts w:ascii="Times New Roman" w:eastAsia="Times New Roman" w:hAnsi="Times New Roman" w:cs="Times New Roman"/>
          <w:b/>
          <w:sz w:val="24"/>
          <w:szCs w:val="24"/>
          <w:lang w:val="bs-Latn-BA"/>
        </w:rPr>
        <w:t xml:space="preserve"> банке</w:t>
      </w:r>
    </w:p>
    <w:p>
      <w:pPr>
        <w:widowControl w:val="0"/>
        <w:spacing w:after="0" w:line="240" w:lineRule="auto"/>
        <w:jc w:val="both"/>
        <w:outlineLvl w:val="4"/>
        <w:rPr>
          <w:rFonts w:ascii="Times New Roman" w:eastAsia="Times New Roman" w:hAnsi="Times New Roman" w:cs="Times New Roman"/>
          <w:bCs/>
          <w:sz w:val="24"/>
          <w:szCs w:val="24"/>
          <w:lang w:val="bs-Latn-BA"/>
        </w:rPr>
      </w:pPr>
      <w:proofErr w:type="spellStart"/>
      <w:r>
        <w:rPr>
          <w:rFonts w:ascii="Times New Roman" w:eastAsia="Times New Roman" w:hAnsi="Times New Roman" w:cs="Times New Roman"/>
          <w:bCs/>
          <w:sz w:val="24"/>
          <w:szCs w:val="24"/>
          <w:lang w:val="bs-Latn-BA"/>
        </w:rPr>
        <w:t>Сарајево</w:t>
      </w:r>
      <w:proofErr w:type="spellEnd"/>
      <w:r>
        <w:rPr>
          <w:rFonts w:ascii="Times New Roman" w:eastAsia="Times New Roman" w:hAnsi="Times New Roman" w:cs="Times New Roman"/>
          <w:bCs/>
          <w:sz w:val="24"/>
          <w:szCs w:val="24"/>
          <w:lang w:val="bs-Latn-BA"/>
        </w:rPr>
        <w:t>, 22.05.2024. године</w:t>
      </w:r>
      <w:r>
        <w:rPr>
          <w:rFonts w:ascii="Times New Roman" w:eastAsia="Times New Roman" w:hAnsi="Times New Roman" w:cs="Times New Roman"/>
          <w:bCs/>
          <w:sz w:val="24"/>
          <w:szCs w:val="24"/>
          <w:lang w:val="bs-Latn-BA"/>
        </w:rPr>
        <w:tab/>
      </w:r>
      <w:r>
        <w:rPr>
          <w:rFonts w:ascii="Times New Roman" w:eastAsia="Times New Roman" w:hAnsi="Times New Roman" w:cs="Times New Roman"/>
          <w:bCs/>
          <w:sz w:val="24"/>
          <w:szCs w:val="24"/>
          <w:lang w:val="bs-Latn-BA"/>
        </w:rPr>
        <w:tab/>
      </w:r>
      <w:r>
        <w:rPr>
          <w:rFonts w:ascii="Times New Roman" w:eastAsia="Times New Roman" w:hAnsi="Times New Roman" w:cs="Times New Roman"/>
          <w:bCs/>
          <w:sz w:val="24"/>
          <w:szCs w:val="24"/>
          <w:lang w:val="bs-Latn-BA"/>
        </w:rPr>
        <w:tab/>
      </w:r>
      <w:r>
        <w:rPr>
          <w:rFonts w:ascii="Times New Roman" w:eastAsia="Times New Roman" w:hAnsi="Times New Roman" w:cs="Times New Roman"/>
          <w:bCs/>
          <w:sz w:val="24"/>
          <w:szCs w:val="24"/>
          <w:lang w:val="bs-Latn-BA"/>
        </w:rPr>
        <w:tab/>
      </w:r>
      <w:r>
        <w:rPr>
          <w:rFonts w:ascii="Times New Roman" w:eastAsia="Times New Roman" w:hAnsi="Times New Roman" w:cs="Times New Roman"/>
          <w:b/>
          <w:sz w:val="24"/>
          <w:szCs w:val="24"/>
          <w:lang w:val="bs-Latn-BA"/>
        </w:rPr>
        <w:t>Босне и Херцеговине</w:t>
      </w:r>
    </w:p>
    <w:p>
      <w:pPr>
        <w:widowControl w:val="0"/>
        <w:spacing w:after="0" w:line="240" w:lineRule="auto"/>
        <w:ind w:left="4956"/>
        <w:jc w:val="center"/>
        <w:outlineLvl w:val="4"/>
        <w:rPr>
          <w:rFonts w:ascii="Times New Roman" w:eastAsia="Times New Roman" w:hAnsi="Times New Roman" w:cs="Times New Roman"/>
          <w:b/>
          <w:sz w:val="24"/>
          <w:szCs w:val="24"/>
          <w:lang w:val="bs-Latn-BA"/>
        </w:rPr>
      </w:pPr>
      <w:r>
        <w:rPr>
          <w:rFonts w:ascii="Times New Roman" w:eastAsia="Times New Roman" w:hAnsi="Times New Roman" w:cs="Times New Roman"/>
          <w:b/>
          <w:sz w:val="24"/>
          <w:szCs w:val="24"/>
          <w:lang w:val="bs-Latn-BA"/>
        </w:rPr>
        <w:t>ГУВЕРНЕРКА</w:t>
      </w:r>
    </w:p>
    <w:p>
      <w:pPr>
        <w:widowControl w:val="0"/>
        <w:spacing w:after="0" w:line="240" w:lineRule="auto"/>
        <w:ind w:left="4956"/>
        <w:jc w:val="center"/>
        <w:outlineLvl w:val="4"/>
        <w:rPr>
          <w:rFonts w:ascii="Times New Roman" w:hAnsi="Times New Roman" w:cs="Times New Roman"/>
          <w:sz w:val="24"/>
          <w:szCs w:val="24"/>
          <w:lang w:val="sr-Latn-BA"/>
        </w:rPr>
      </w:pPr>
      <w:r>
        <w:rPr>
          <w:rFonts w:ascii="Times New Roman" w:eastAsia="Times New Roman" w:hAnsi="Times New Roman" w:cs="Times New Roman"/>
          <w:b/>
          <w:sz w:val="24"/>
          <w:szCs w:val="24"/>
          <w:lang w:val="bs-Latn-BA"/>
        </w:rPr>
        <w:t>др Јасмина Селимовић</w:t>
      </w:r>
    </w:p>
    <w:sectPr>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922806"/>
      <w:docPartObj>
        <w:docPartGallery w:val="Page Numbers (Bottom of Page)"/>
        <w:docPartUnique/>
      </w:docPartObj>
    </w:sdtPr>
    <w:sdtContent>
      <w:sdt>
        <w:sdtPr>
          <w:id w:val="-1769616900"/>
          <w:docPartObj>
            <w:docPartGallery w:val="Page Numbers (Top of Page)"/>
            <w:docPartUnique/>
          </w:docPartObj>
        </w:sdtPr>
        <w:sdtContent>
          <w:p>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160B"/>
    <w:multiLevelType w:val="hybridMultilevel"/>
    <w:tmpl w:val="9B0A6BEC"/>
    <w:lvl w:ilvl="0" w:tplc="141A0017">
      <w:start w:val="1"/>
      <w:numFmt w:val="lowerLetter"/>
      <w:lvlText w:val="%1)"/>
      <w:lvlJc w:val="left"/>
      <w:pPr>
        <w:ind w:left="788" w:hanging="360"/>
      </w:pPr>
    </w:lvl>
    <w:lvl w:ilvl="1" w:tplc="141A0019" w:tentative="1">
      <w:start w:val="1"/>
      <w:numFmt w:val="lowerLetter"/>
      <w:lvlText w:val="%2."/>
      <w:lvlJc w:val="left"/>
      <w:pPr>
        <w:ind w:left="1508" w:hanging="360"/>
      </w:pPr>
    </w:lvl>
    <w:lvl w:ilvl="2" w:tplc="141A001B" w:tentative="1">
      <w:start w:val="1"/>
      <w:numFmt w:val="lowerRoman"/>
      <w:lvlText w:val="%3."/>
      <w:lvlJc w:val="right"/>
      <w:pPr>
        <w:ind w:left="2228" w:hanging="180"/>
      </w:pPr>
    </w:lvl>
    <w:lvl w:ilvl="3" w:tplc="141A000F" w:tentative="1">
      <w:start w:val="1"/>
      <w:numFmt w:val="decimal"/>
      <w:lvlText w:val="%4."/>
      <w:lvlJc w:val="left"/>
      <w:pPr>
        <w:ind w:left="2948" w:hanging="360"/>
      </w:pPr>
    </w:lvl>
    <w:lvl w:ilvl="4" w:tplc="141A0019" w:tentative="1">
      <w:start w:val="1"/>
      <w:numFmt w:val="lowerLetter"/>
      <w:lvlText w:val="%5."/>
      <w:lvlJc w:val="left"/>
      <w:pPr>
        <w:ind w:left="3668" w:hanging="360"/>
      </w:pPr>
    </w:lvl>
    <w:lvl w:ilvl="5" w:tplc="141A001B" w:tentative="1">
      <w:start w:val="1"/>
      <w:numFmt w:val="lowerRoman"/>
      <w:lvlText w:val="%6."/>
      <w:lvlJc w:val="right"/>
      <w:pPr>
        <w:ind w:left="4388" w:hanging="180"/>
      </w:pPr>
    </w:lvl>
    <w:lvl w:ilvl="6" w:tplc="141A000F" w:tentative="1">
      <w:start w:val="1"/>
      <w:numFmt w:val="decimal"/>
      <w:lvlText w:val="%7."/>
      <w:lvlJc w:val="left"/>
      <w:pPr>
        <w:ind w:left="5108" w:hanging="360"/>
      </w:pPr>
    </w:lvl>
    <w:lvl w:ilvl="7" w:tplc="141A0019" w:tentative="1">
      <w:start w:val="1"/>
      <w:numFmt w:val="lowerLetter"/>
      <w:lvlText w:val="%8."/>
      <w:lvlJc w:val="left"/>
      <w:pPr>
        <w:ind w:left="5828" w:hanging="360"/>
      </w:pPr>
    </w:lvl>
    <w:lvl w:ilvl="8" w:tplc="141A001B" w:tentative="1">
      <w:start w:val="1"/>
      <w:numFmt w:val="lowerRoman"/>
      <w:lvlText w:val="%9."/>
      <w:lvlJc w:val="right"/>
      <w:pPr>
        <w:ind w:left="6548" w:hanging="180"/>
      </w:pPr>
    </w:lvl>
  </w:abstractNum>
  <w:abstractNum w:abstractNumId="1" w15:restartNumberingAfterBreak="0">
    <w:nsid w:val="4F733188"/>
    <w:multiLevelType w:val="hybridMultilevel"/>
    <w:tmpl w:val="3A843668"/>
    <w:lvl w:ilvl="0" w:tplc="B2A02BF6">
      <w:start w:val="1"/>
      <w:numFmt w:val="lowerLetter"/>
      <w:lvlText w:val="%1)"/>
      <w:lvlJc w:val="left"/>
      <w:pPr>
        <w:ind w:left="720" w:hanging="360"/>
      </w:pPr>
      <w:rPr>
        <w:strike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5E83139C"/>
    <w:multiLevelType w:val="hybridMultilevel"/>
    <w:tmpl w:val="1340CA3C"/>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E33B1-DCB2-4C8B-8CC4-D33658E0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78040">
      <w:bodyDiv w:val="1"/>
      <w:marLeft w:val="0"/>
      <w:marRight w:val="0"/>
      <w:marTop w:val="0"/>
      <w:marBottom w:val="0"/>
      <w:divBdr>
        <w:top w:val="none" w:sz="0" w:space="0" w:color="auto"/>
        <w:left w:val="none" w:sz="0" w:space="0" w:color="auto"/>
        <w:bottom w:val="none" w:sz="0" w:space="0" w:color="auto"/>
        <w:right w:val="none" w:sz="0" w:space="0" w:color="auto"/>
      </w:divBdr>
    </w:div>
    <w:div w:id="152582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Soco</dc:creator>
  <cp:keywords/>
  <dc:description/>
  <cp:lastModifiedBy>Damir Soco</cp:lastModifiedBy>
  <cp:revision>16</cp:revision>
  <cp:lastPrinted>2024-05-30T09:00:00Z</cp:lastPrinted>
  <dcterms:created xsi:type="dcterms:W3CDTF">2024-05-07T11:24:00Z</dcterms:created>
  <dcterms:modified xsi:type="dcterms:W3CDTF">2024-05-30T09:00:00Z</dcterms:modified>
</cp:coreProperties>
</file>