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На основу члана 7. став 1. тачка б) и чланова 36. и 70. Закона о Централној банци Босне и Херцеговине („Службени гласник БиХ“, бр. 1/97, 29/02, 8/03, 13/03, 14/03, 9/05, 76/06 и 32/07), Управни одбор Централне банке Босне и Херцеговине, на 7. сједници одржаној дана 28.07.2023. године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s-Cyrl-BA"/>
        </w:rPr>
        <w:t xml:space="preserve">н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>8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. сједници одржаној дана 29.08.2023. године, доноси:</w:t>
      </w:r>
    </w:p>
    <w:p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  <w:t>ОДЛУКУ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о начину обављања трансакција повећања и смањења средстава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на рачуну резерви у EUR  </w:t>
      </w:r>
    </w:p>
    <w:p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Члан 1.</w:t>
      </w: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(Предмет одлуке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>)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Овом одлуком уређује се начин обављања трансакција повећања и смањења средстава на рачуну резерви у EUR које Централна банка Босне и Херцеговине (у даљњем тексту: Централна банка) обавља с банкама у Босни и Херцеговини (у даљњем тексту: банка) у складу с прописом Централне банке о утврђивању и одржавању обавезних резерви и утврђивању накнаде на износ резерви.</w:t>
      </w: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Члан 2.</w:t>
      </w: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(Повећање и смањење средстава на рачуну резерви у EUR)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(1) Централна банка врши повећања и смањења средства на рачуну резерви у EUR на основу захтјева банке и то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:</w:t>
      </w:r>
    </w:p>
    <w:p>
      <w:p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а)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>захтјева банке за повећање/смањење рачуна резерви у EUR по основу уплата/исплата преко рачуна у иностранству (у даљњем тексту захтјев за уплату/исплату – рачун резерви у EUR), за износ уплаћених/исплаћених средстава у EUR валути;</w:t>
      </w:r>
    </w:p>
    <w:p>
      <w:p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б)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>захтјева банке за повећање/смањење рачуна резерви у EUR по основу преноса средстава са/на рачун резерви у КМ (у даљњем тексту захтјев за интерну куповину/продају КМ – рачун резерви EUR) за износ противриједности средства у EUR валути пренесених с/на рачун резерви у КМ.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(2) Радни дан је сваки радни дан како је одређено прописом Централне банке о утврђивању и одржавању обавезних резерви и утврђивању накнаде на износ резерви осим за извршавање трансакција по рачуну Централне банке у иностранству и рачуну резерви банке у EUR у погледу чега се примјењују и радни дани Таргет система дефинисани прописима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„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Евросистема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“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Члан 3.</w:t>
      </w: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(Подношење захтјева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)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(1) Банка подноси захтјев из члана 2. став (1) ове одлуке, организационом облику надлежном за послове банкарства у главној јединици или филијали Централне банке код које се води рачун резерви у EUR те банке (у даљњем тексту: организациони облик за банкарство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).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trike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(2) Подношење захтјева из члана 2. став (1) ове одлуке и његово потврђивање од стране организационог облика за банкарство врши се путем софтверске платформе електронског међубанкарског тржишта новца (у даљњем тексту: ЕМТН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  <w:t>)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Cyrl-RS"/>
        </w:rPr>
        <w:t>.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  <w:t xml:space="preserve"> 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(3) У случају немогућности комуникације путем ЕМТН (пад система ЕМТН или у изузетним околностима уз образложени писани захтјев банке када се не ради о паду система ЕМТН), с организационим обликом за банкарство, комуникација се обавља путем факса или електорнске поште. У том случају, захтјеве обавезно потписују </w:t>
      </w: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овлашћене особе банке.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(4) Централна банка реализује само уредно попуњене и благовремено достављене захтјеве банака, поднесене и потврђене у складу с овом одлуком.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Члан 4.</w:t>
      </w: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(</w:t>
      </w:r>
      <w:r>
        <w:rPr>
          <w:rFonts w:ascii="Times New Roman" w:eastAsia="Calibri" w:hAnsi="Times New Roman" w:cs="Times New Roman"/>
          <w:noProof/>
          <w:sz w:val="24"/>
          <w:szCs w:val="24"/>
        </w:rPr>
        <w:t>Уплата средстава на рачун у иностранству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)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(1) Када се повећање средстава на рачуну резерви у EUR врши уплатом средстава на рачун Централне банке у иностранству, Централна банка креира налог о уплати EUR с датумом валуте до два радна дана од датума пријема захтјева банке из члана 2. став (1) тачке а) ове одлуке који је дужна доставити организационом облику за банкарство</w:t>
      </w: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>.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trike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 xml:space="preserve">(2) Уколико се ради о захтјеву Т+0, банка је дужна тај захтјев доставити најкасније до 14.00 часова, у супротном се захтјев сматра закашњелим и одбијеним. 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color w:val="0D0D0D"/>
          <w:sz w:val="24"/>
          <w:szCs w:val="24"/>
        </w:rPr>
        <w:t>(3) Централна банка потврђује уредно попуњен и благовремено достављен захтјев банке, а банка најкасније до 14.30 часова на дан уплате, а након потврде захтјева, организационом облику за банкарство доставља СВИФТ поруку MT202 или пацс.009 као доказ о налогу/инструкцији за уплату средстава на рачун Централне банке у иностранству</w:t>
      </w: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>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color w:val="0D0D0D"/>
          <w:sz w:val="24"/>
          <w:szCs w:val="24"/>
        </w:rPr>
        <w:t xml:space="preserve">(4)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Централна банка реализује налог о уплати EUR на рачун резерви банке у EUR на датум с којим је потврђена уплата банке на рачун Централне банке у иностранству. Уколико уплата на рачун Централне банке у иностранству не буде реализована до 16.00 часова истог дана, реализација налога о уплати EUR на рачун резерви банке у EUR биће наредни радни дан с уговореним датумом валуте, уколико средства буду евидентирана наредног дана на изводу рачуна Централне банке у иностранству, о чему ће банка бити благовремено обавијештена. Реализација налога о уплати с валутом наредни радни дан биће у случају да средства буду одобрена на ДБ-ЦИ (</w:t>
      </w:r>
      <w:r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Deutsche Bank Cash Inquiry</w:t>
      </w:r>
      <w:r>
        <w:rPr>
          <w:rFonts w:ascii="Times New Roman" w:eastAsia="Calibri" w:hAnsi="Times New Roman" w:cs="Times New Roman"/>
          <w:noProof/>
          <w:sz w:val="24"/>
          <w:szCs w:val="24"/>
        </w:rPr>
        <w:t>) или ДБ-ДИ (</w:t>
      </w:r>
      <w:r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Deutsche Bank Direct Internet</w:t>
      </w:r>
      <w:r>
        <w:rPr>
          <w:rFonts w:ascii="Times New Roman" w:eastAsia="Calibri" w:hAnsi="Times New Roman" w:cs="Times New Roman"/>
          <w:noProof/>
          <w:sz w:val="24"/>
          <w:szCs w:val="24"/>
        </w:rPr>
        <w:t>) или на рачуну код неке друге иностране банке код које Централна банка има отворен рачун најкасније до 13.00 часова наредног радног дана, при чему се примјењује правило Т+1,  а о чему ће банка бити благовремено обавијештена писаним путем.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color w:val="0D0D0D"/>
          <w:sz w:val="24"/>
          <w:szCs w:val="24"/>
        </w:rPr>
        <w:t xml:space="preserve">(5) Уколико уплата на рачун Централне банке у иностранству не буде реализована у складу са ставом (4) овог члана, сматраће се да је банка одустала од уговорене трансакције, о чему ће банка бити обавијештена писаним путем те ће Централна банка, у разумном року, извршити повраћај средстава у складу с инструкцијом банке. 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color w:val="0D0D0D"/>
          <w:sz w:val="24"/>
          <w:szCs w:val="24"/>
        </w:rPr>
        <w:t xml:space="preserve">(6) </w:t>
      </w: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 xml:space="preserve">Реализацијом налога о уплати одобрава се рачун резерви у EUR. 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Члан 5.</w:t>
      </w: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(Исплата средства с рачуна у иностранству)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(1) Када се смањење средстава на рачуну резерви у EUR врши исплатом у EUR валути на рачун банке у иностранству, Централна банка креира налог о исплати EUR с датумом валуте од два радна дана од датума подношења захтјева (Т+2), блокира средства на рачуну резерви банке до момента реализације и потврђује захтјев банке из члана 2. став (1) тачке а) ове одлуке</w:t>
      </w: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>.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>(2) Банка је дужна захтјев из става (1) овог члана доставити организационом облику за банкарство најкасније до 13.30 часова.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>(3) Уколико банка захтјев из става (1) овог члана достави Централној банци послије 13.30 часова, а најкасније до 14.30 часова, може одобрити такав захтјев.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>(4) Уколико захтјев из става (1) овог члана буде достављен послије 13.30 часова, односно захтјев из става (3) овог члана буде достављен послије 14.30 часова, захтјев ће бити одбијен.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 xml:space="preserve">(5) Централна банка, у изузетним случајевима, на основу захтјева банке може одобрити </w:t>
      </w: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lastRenderedPageBreak/>
        <w:t>и извршити исплату у EUR валути на рачун банке у иностранству и с датумом валуте од један радни дан (Т+1) или с датумом валуте истог радног дана (Т+0), ако то могућности дозвољавају.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>(6) Банка је дужна захтјев из става (5) овог члана доставити Централној банци најкасније до 11.00 часова за захтјев с валутом исти радни дан (Т+0), односно до 13.00 часова за захтјев с валутом један радни дан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Cyrl-RS"/>
        </w:rPr>
        <w:t>Т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+1).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(7) Уколико захтјев с валутом (Т+0) буде достављен послије 11.00 часова, односно захтјев са валутом (Т+1) послије 13.00 часова, биће одбијен.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  <w:t xml:space="preserve">(8)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Реализацијом налога о исплати EUR се задужује рачун резерви у EUR.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Члан 6.</w:t>
      </w: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(Пренос средстава с рачуна резерви у КМ на рачун резерви у EUR)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 xml:space="preserve">(1) </w:t>
      </w:r>
      <w:r>
        <w:rPr>
          <w:rFonts w:ascii="Times New Roman" w:eastAsia="Calibri" w:hAnsi="Times New Roman" w:cs="Times New Roman"/>
          <w:bCs/>
          <w:noProof/>
          <w:color w:val="0D0D0D"/>
          <w:sz w:val="24"/>
          <w:szCs w:val="24"/>
        </w:rPr>
        <w:t>Када се повећање средстава на рачуну резерви у EUR врши преносом средстава с рачуна резерви у КМ по захтјеву банке из члана 2. став (1) тачке б) ове одлуке, организациони облик за банкарство којем је поднесен захтјев банке, креира интерну закључницу о куповини КМ - рачун резерви у EUR (у даљњем тексту интерна закључница о куповини КМ) и потврђује захтјев</w:t>
      </w: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>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D0D0D"/>
          <w:sz w:val="24"/>
          <w:szCs w:val="24"/>
        </w:rPr>
        <w:t>(2) Интерна заључница о куповини КМ се креира с датумом валуте истог дана када је и поднесен захтјев, у случају да банка подноси захтјев до 14.00 часова. Уколико захтјев буде достављен послије 14.00 часова, исти ће бити одбијен.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>(3) Када банка подноси захтјев из става (1) овог члана с датумом валуте од један радни дан од датума подношења захтјева, организациони облик за банкарство креира интерну закључницу о куповини КМ с датумом назначеним у захтјеву банке. У овом случају банка подноси захтјев до 15.00 часова. Уколико захтјев буде достављен послије 15.00 часова, исти ће бити одбијен.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 xml:space="preserve">(4) </w:t>
      </w:r>
      <w:bookmarkStart w:id="0" w:name="_Hlk117004475"/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>Креирањем интерне закључнице о куповини КМ из став</w:t>
      </w:r>
      <w:r>
        <w:rPr>
          <w:rFonts w:ascii="Times New Roman" w:eastAsia="Calibri" w:hAnsi="Times New Roman" w:cs="Times New Roman"/>
          <w:noProof/>
          <w:color w:val="0D0D0D"/>
          <w:sz w:val="24"/>
          <w:szCs w:val="24"/>
          <w:lang w:val="bs-Cyrl-BA"/>
        </w:rPr>
        <w:t>ов</w:t>
      </w: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>а (2) и (3) овог члана, блокирају се средства на рачуну резерви у КМ до момента реализације.</w:t>
      </w:r>
    </w:p>
    <w:bookmarkEnd w:id="0"/>
    <w:p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>(5)Реализацијом интерне закључнице о куповини КМ, у сврху преноса средстава с рачуна резерви у КМ на рачун резерви у EUR, с истим датумом валуте се задужује рачун резерви у КМ и истовремено одобрава рачун резерви у EUR.</w:t>
      </w:r>
    </w:p>
    <w:p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 xml:space="preserve">(6)С обзиром на то да интерна закључница о куповини КМ реализована у сврху повећања средства на рачуну резерви у EUR нема за посљедице промјену стања на рачуну Централне банке у иностранству, није потребно креирати платне налоге односно СВИФТ поруке МТ 202. 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Члан 7.</w:t>
      </w: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(Пренос средстава с рачуна резерви у EUR на рачун резерви у KM)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 xml:space="preserve">(1) </w:t>
      </w:r>
      <w:r>
        <w:rPr>
          <w:rFonts w:ascii="Times New Roman" w:eastAsia="Calibri" w:hAnsi="Times New Roman" w:cs="Times New Roman"/>
          <w:bCs/>
          <w:noProof/>
          <w:color w:val="0D0D0D"/>
          <w:sz w:val="24"/>
          <w:szCs w:val="24"/>
        </w:rPr>
        <w:t>Када се смањење средстава на рачуну резерви у EUR врши преносом средстава на рачун резерви у КМ по захтјеву банке из члана 2. став (1) тачке б) ове одлуке, организациони облик за банкарство којем је поднесен захтјев банке, креира интерну закључницу о продаји КМ – рачун резерви у EUR (у даљњем тексту интерна закључница о продаји КМ) и потврђује захтјев</w:t>
      </w: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>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D0D0D"/>
          <w:sz w:val="24"/>
          <w:szCs w:val="24"/>
        </w:rPr>
        <w:t>(2) Интерна заључница о продаји КМ креира се с датумом валуте истог дана када је и поднесен захтјев, у случају да банка подноси захтјев до 14.00 ч</w:t>
      </w:r>
      <w:r>
        <w:rPr>
          <w:rFonts w:ascii="Times New Roman" w:eastAsia="Times New Roman" w:hAnsi="Times New Roman" w:cs="Times New Roman"/>
          <w:noProof/>
          <w:color w:val="0D0D0D"/>
          <w:sz w:val="24"/>
          <w:szCs w:val="24"/>
          <w:lang w:val="sr-Cyrl-RS"/>
        </w:rPr>
        <w:t>асова</w:t>
      </w:r>
      <w:r>
        <w:rPr>
          <w:rFonts w:ascii="Times New Roman" w:eastAsia="Times New Roman" w:hAnsi="Times New Roman" w:cs="Times New Roman"/>
          <w:noProof/>
          <w:color w:val="0D0D0D"/>
          <w:sz w:val="24"/>
          <w:szCs w:val="24"/>
        </w:rPr>
        <w:t>. Уколико захтјев буде достављен послије 14.00 ч</w:t>
      </w:r>
      <w:r>
        <w:rPr>
          <w:rFonts w:ascii="Times New Roman" w:eastAsia="Times New Roman" w:hAnsi="Times New Roman" w:cs="Times New Roman"/>
          <w:noProof/>
          <w:color w:val="0D0D0D"/>
          <w:sz w:val="24"/>
          <w:szCs w:val="24"/>
          <w:lang w:val="sr-Cyrl-RS"/>
        </w:rPr>
        <w:t>асова</w:t>
      </w:r>
      <w:r>
        <w:rPr>
          <w:rFonts w:ascii="Times New Roman" w:eastAsia="Times New Roman" w:hAnsi="Times New Roman" w:cs="Times New Roman"/>
          <w:noProof/>
          <w:color w:val="0D0D0D"/>
          <w:sz w:val="24"/>
          <w:szCs w:val="24"/>
        </w:rPr>
        <w:t>, исти ће бити одбијен.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 xml:space="preserve">(3) Када банка подноси захтјев из става (1) овог члана с датумом валуте од један радни дан од датума подношења захтјева, организациони облик за банкарство креира интерну закључницу о продаји КМ с датумом назначеним у захтјеву банке. У овом случају банка подноси захтјев до 15.00 </w:t>
      </w:r>
      <w:r>
        <w:rPr>
          <w:rFonts w:ascii="Times New Roman" w:eastAsia="Times New Roman" w:hAnsi="Times New Roman" w:cs="Times New Roman"/>
          <w:noProof/>
          <w:color w:val="0D0D0D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noProof/>
          <w:color w:val="0D0D0D"/>
          <w:sz w:val="24"/>
          <w:szCs w:val="24"/>
          <w:lang w:val="sr-Cyrl-RS"/>
        </w:rPr>
        <w:t>асова</w:t>
      </w: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 xml:space="preserve">. Уколико захтјев буде достављен послије 15.00 </w:t>
      </w:r>
      <w:r>
        <w:rPr>
          <w:rFonts w:ascii="Times New Roman" w:eastAsia="Times New Roman" w:hAnsi="Times New Roman" w:cs="Times New Roman"/>
          <w:noProof/>
          <w:color w:val="0D0D0D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noProof/>
          <w:color w:val="0D0D0D"/>
          <w:sz w:val="24"/>
          <w:szCs w:val="24"/>
          <w:lang w:val="sr-Cyrl-RS"/>
        </w:rPr>
        <w:t>асова</w:t>
      </w: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>, исти ће бити одбијен.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lastRenderedPageBreak/>
        <w:t xml:space="preserve">(4) </w:t>
      </w:r>
      <w:bookmarkStart w:id="1" w:name="_Hlk117004608"/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>Креирањем интерне закључнице о продаји КМ из ставова (2) и (3) овог члана, блокирају се средства на рачуну резерви у EUR  до момента реализације.</w:t>
      </w:r>
    </w:p>
    <w:bookmarkEnd w:id="1"/>
    <w:p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 xml:space="preserve">(5) Реализацијом интерне закључнице о продаји КМ, у сврху преноса средства с рачуна резерви у EUR на рачун резерви у КМ, с истим датумом валуте се задужује рачун резерви у EUR и истовремено одобрава рачун резерви у КМ. 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>(6) С обзиром на то да интерна закључница о продаји КМ реализована у сврху смањења средства на рачуну резерви у EUR нема за посљедице промјену стања на рачуну Централне банке у иностранству, није потребно креирати платне налоге односно СВИФТ поруке МТ 202 или пацс.009.</w:t>
      </w: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Члан 8.</w:t>
      </w: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(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Накнада</w:t>
      </w:r>
      <w:r>
        <w:rPr>
          <w:rFonts w:ascii="Times New Roman" w:eastAsia="Calibri" w:hAnsi="Times New Roman" w:cs="Times New Roman"/>
          <w:noProof/>
          <w:sz w:val="24"/>
          <w:szCs w:val="24"/>
        </w:rPr>
        <w:t>)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(1) Централна банка врши обрачун накнаде, у складу с прописом о тарифи накнада Централне банке, који аутоматски путем ЕМТН-а (потврдом захтјева) доставља банци.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(2) Наплата накнаде из става (1) овог члана врши се на мјесечном нивоу задуживањем рачуна резерви банке у КМ у корист рачуна Централне канцеларије Централне банке.</w:t>
      </w: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Члан 9.</w:t>
      </w: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(Рачун Централне банке у иностранству)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У случају недоступности или немогућности обављања трансакција путем рачуна Централне банке из члана 4. ове одлуке отвореног код </w:t>
      </w:r>
      <w:r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Deutsche Bank</w:t>
      </w:r>
      <w:r>
        <w:rPr>
          <w:rFonts w:ascii="Times New Roman" w:eastAsia="Calibri" w:hAnsi="Times New Roman" w:cs="Times New Roman"/>
          <w:noProof/>
          <w:sz w:val="24"/>
          <w:szCs w:val="24"/>
        </w:rPr>
        <w:t>, Централна банка ће банкама писаним путем доставити обавјештење о другом рачуну Централне банке са свим потребним инструкцијама за плаћање те ће пратити и провјеравати статус трансакције другим каналом комуникације.</w:t>
      </w: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Члан 10.</w:t>
      </w:r>
    </w:p>
    <w:p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(Ступање на снагу и објављивање)</w:t>
      </w: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(1) Ова одлука ступа на снагу осмог дана од дана објављивања у “Службеном гласнику БиХ”, а примјењује се од 01.01.2024. године</w:t>
      </w:r>
      <w:r>
        <w:rPr>
          <w:rFonts w:ascii="Times New Roman" w:eastAsia="Times New Roman" w:hAnsi="Times New Roman" w:cs="Times New Roman"/>
          <w:noProof/>
          <w:color w:val="0D0D0D"/>
          <w:sz w:val="24"/>
          <w:szCs w:val="24"/>
        </w:rPr>
        <w:t>.</w:t>
      </w:r>
    </w:p>
    <w:p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(2) Ова одлука објављује се у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„</w:t>
      </w:r>
      <w:r>
        <w:rPr>
          <w:rFonts w:ascii="Times New Roman" w:eastAsia="Calibri" w:hAnsi="Times New Roman" w:cs="Times New Roman"/>
          <w:noProof/>
          <w:sz w:val="24"/>
          <w:szCs w:val="24"/>
        </w:rPr>
        <w:t>Службеним новинама Федерације БиХ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“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„</w:t>
      </w:r>
      <w:r>
        <w:rPr>
          <w:rFonts w:ascii="Times New Roman" w:eastAsia="Calibri" w:hAnsi="Times New Roman" w:cs="Times New Roman"/>
          <w:noProof/>
          <w:sz w:val="24"/>
          <w:szCs w:val="24"/>
        </w:rPr>
        <w:t>Службеном гласнику Републике Српске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“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„</w:t>
      </w:r>
      <w:r>
        <w:rPr>
          <w:rFonts w:ascii="Times New Roman" w:eastAsia="Calibri" w:hAnsi="Times New Roman" w:cs="Times New Roman"/>
          <w:noProof/>
          <w:sz w:val="24"/>
          <w:szCs w:val="24"/>
        </w:rPr>
        <w:t>Службеном гласнику Брчко дистрикта БиХ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“</w:t>
      </w:r>
      <w:r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>
      <w:pPr>
        <w:widowControl w:val="0"/>
        <w:tabs>
          <w:tab w:val="center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s-Latn-BA" w:eastAsia="zh-CN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bs-Latn-BA" w:eastAsia="zh-CN"/>
        </w:rPr>
        <w:t>Предсједавајући</w:t>
      </w:r>
    </w:p>
    <w:p>
      <w:pPr>
        <w:tabs>
          <w:tab w:val="center" w:pos="7088"/>
        </w:tabs>
        <w:spacing w:after="0" w:line="240" w:lineRule="auto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bs-Latn-BA" w:eastAsia="zh-CN"/>
        </w:rPr>
        <w:t>Управног одбора Централне банке</w:t>
      </w:r>
    </w:p>
    <w:p>
      <w:pPr>
        <w:tabs>
          <w:tab w:val="center" w:pos="7088"/>
        </w:tabs>
        <w:spacing w:after="0" w:line="240" w:lineRule="auto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Број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bs-Cyrl-BA"/>
        </w:rPr>
        <w:t>УВ</w:t>
      </w:r>
      <w:bookmarkStart w:id="2" w:name="_GoBack"/>
      <w:bookmarkEnd w:id="2"/>
      <w:r>
        <w:rPr>
          <w:rFonts w:ascii="Times New Roman" w:eastAsia="Calibri" w:hAnsi="Times New Roman" w:cs="Times New Roman"/>
          <w:noProof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122-02-1-1499-5</w:t>
      </w:r>
      <w:r>
        <w:rPr>
          <w:rFonts w:ascii="Times New Roman" w:eastAsia="Calibri" w:hAnsi="Times New Roman" w:cs="Times New Roman"/>
          <w:noProof/>
          <w:sz w:val="24"/>
          <w:szCs w:val="24"/>
        </w:rPr>
        <w:t>/23</w:t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bs-Latn-BA" w:eastAsia="zh-CN"/>
        </w:rPr>
        <w:t>Босне и Херцеговине</w:t>
      </w:r>
    </w:p>
    <w:p>
      <w:pPr>
        <w:tabs>
          <w:tab w:val="center" w:pos="7088"/>
        </w:tabs>
        <w:spacing w:after="0" w:line="240" w:lineRule="auto"/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Сарајево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, 29.08.2023.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године</w:t>
      </w:r>
    </w:p>
    <w:p>
      <w:pPr>
        <w:widowControl w:val="0"/>
        <w:tabs>
          <w:tab w:val="center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zh-CN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zh-CN"/>
        </w:rPr>
        <w:t>ГУВЕРНЕР</w:t>
      </w:r>
    </w:p>
    <w:p>
      <w:pPr>
        <w:tabs>
          <w:tab w:val="center" w:pos="7088"/>
        </w:tabs>
        <w:spacing w:after="0" w:line="240" w:lineRule="auto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s-Latn-BA" w:eastAsia="zh-CN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zh-CN"/>
        </w:rPr>
        <w:t>Др Сенад Софтић</w:t>
      </w:r>
    </w:p>
    <w:p>
      <w:pPr>
        <w:tabs>
          <w:tab w:val="center" w:pos="7088"/>
        </w:tabs>
        <w:spacing w:after="0" w:line="240" w:lineRule="auto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</w:p>
    <w:sectPr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85407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1AE"/>
    <w:multiLevelType w:val="hybridMultilevel"/>
    <w:tmpl w:val="4BD0D0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70CC7"/>
    <w:multiLevelType w:val="hybridMultilevel"/>
    <w:tmpl w:val="C674C48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8E0081"/>
    <w:multiLevelType w:val="hybridMultilevel"/>
    <w:tmpl w:val="F102A242"/>
    <w:lvl w:ilvl="0" w:tplc="58B0C914">
      <w:start w:val="1"/>
      <w:numFmt w:val="lowerLetter"/>
      <w:lvlText w:val="%1)"/>
      <w:lvlJc w:val="left"/>
      <w:pPr>
        <w:ind w:left="719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0B294D57"/>
    <w:multiLevelType w:val="hybridMultilevel"/>
    <w:tmpl w:val="6B6A56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AE455E"/>
    <w:multiLevelType w:val="hybridMultilevel"/>
    <w:tmpl w:val="F1F4BF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847D5"/>
    <w:multiLevelType w:val="hybridMultilevel"/>
    <w:tmpl w:val="ED08D1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C01B4"/>
    <w:multiLevelType w:val="hybridMultilevel"/>
    <w:tmpl w:val="A56A4F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D65B3"/>
    <w:multiLevelType w:val="hybridMultilevel"/>
    <w:tmpl w:val="A01AAB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46412"/>
    <w:multiLevelType w:val="hybridMultilevel"/>
    <w:tmpl w:val="A53696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76C2B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B5A93"/>
    <w:multiLevelType w:val="hybridMultilevel"/>
    <w:tmpl w:val="16EA51F8"/>
    <w:lvl w:ilvl="0" w:tplc="7972AC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9E4B81"/>
    <w:multiLevelType w:val="hybridMultilevel"/>
    <w:tmpl w:val="C982F7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64E6C"/>
    <w:multiLevelType w:val="hybridMultilevel"/>
    <w:tmpl w:val="75E655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24817"/>
    <w:multiLevelType w:val="hybridMultilevel"/>
    <w:tmpl w:val="DB445C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10FC7"/>
    <w:multiLevelType w:val="hybridMultilevel"/>
    <w:tmpl w:val="12E438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A06D7"/>
    <w:multiLevelType w:val="hybridMultilevel"/>
    <w:tmpl w:val="4C3868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129C5"/>
    <w:multiLevelType w:val="hybridMultilevel"/>
    <w:tmpl w:val="EB6AED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52A4"/>
    <w:multiLevelType w:val="hybridMultilevel"/>
    <w:tmpl w:val="5E3699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A331A"/>
    <w:multiLevelType w:val="hybridMultilevel"/>
    <w:tmpl w:val="3DFC70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111FAB"/>
    <w:multiLevelType w:val="hybridMultilevel"/>
    <w:tmpl w:val="1D8CE7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7012F3"/>
    <w:multiLevelType w:val="hybridMultilevel"/>
    <w:tmpl w:val="8D2A124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66FED"/>
    <w:multiLevelType w:val="hybridMultilevel"/>
    <w:tmpl w:val="805CF16E"/>
    <w:lvl w:ilvl="0" w:tplc="141A0017">
      <w:start w:val="1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305C4"/>
    <w:multiLevelType w:val="hybridMultilevel"/>
    <w:tmpl w:val="D728A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E777D"/>
    <w:multiLevelType w:val="hybridMultilevel"/>
    <w:tmpl w:val="91A053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E26657"/>
    <w:multiLevelType w:val="hybridMultilevel"/>
    <w:tmpl w:val="D4682B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76E7C"/>
    <w:multiLevelType w:val="hybridMultilevel"/>
    <w:tmpl w:val="E84A0D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24F12"/>
    <w:multiLevelType w:val="hybridMultilevel"/>
    <w:tmpl w:val="781081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52CC8"/>
    <w:multiLevelType w:val="hybridMultilevel"/>
    <w:tmpl w:val="4AF28F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1C15B2"/>
    <w:multiLevelType w:val="hybridMultilevel"/>
    <w:tmpl w:val="135AC2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A637E0"/>
    <w:multiLevelType w:val="hybridMultilevel"/>
    <w:tmpl w:val="861452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AD3961"/>
    <w:multiLevelType w:val="hybridMultilevel"/>
    <w:tmpl w:val="4920E544"/>
    <w:lvl w:ilvl="0" w:tplc="6052B8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227AF1"/>
    <w:multiLevelType w:val="hybridMultilevel"/>
    <w:tmpl w:val="7578E1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91E99"/>
    <w:multiLevelType w:val="hybridMultilevel"/>
    <w:tmpl w:val="25B4DD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E526F5"/>
    <w:multiLevelType w:val="hybridMultilevel"/>
    <w:tmpl w:val="8DE05CAC"/>
    <w:lvl w:ilvl="0" w:tplc="15023EE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CC145E2"/>
    <w:multiLevelType w:val="hybridMultilevel"/>
    <w:tmpl w:val="46E4F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B423F2"/>
    <w:multiLevelType w:val="hybridMultilevel"/>
    <w:tmpl w:val="4642E2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503F4"/>
    <w:multiLevelType w:val="hybridMultilevel"/>
    <w:tmpl w:val="D42C4F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1146B"/>
    <w:multiLevelType w:val="hybridMultilevel"/>
    <w:tmpl w:val="EB3AA09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23DB3"/>
    <w:multiLevelType w:val="hybridMultilevel"/>
    <w:tmpl w:val="73502A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B2E0F"/>
    <w:multiLevelType w:val="hybridMultilevel"/>
    <w:tmpl w:val="407C2E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95418"/>
    <w:multiLevelType w:val="hybridMultilevel"/>
    <w:tmpl w:val="D2C68B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F7BFF"/>
    <w:multiLevelType w:val="hybridMultilevel"/>
    <w:tmpl w:val="633E9A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95F9B"/>
    <w:multiLevelType w:val="hybridMultilevel"/>
    <w:tmpl w:val="3A5C682A"/>
    <w:lvl w:ilvl="0" w:tplc="15023EE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F1E62"/>
    <w:multiLevelType w:val="hybridMultilevel"/>
    <w:tmpl w:val="7FDCC1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17"/>
  </w:num>
  <w:num w:numId="4">
    <w:abstractNumId w:val="5"/>
  </w:num>
  <w:num w:numId="5">
    <w:abstractNumId w:val="39"/>
  </w:num>
  <w:num w:numId="6">
    <w:abstractNumId w:val="38"/>
  </w:num>
  <w:num w:numId="7">
    <w:abstractNumId w:val="2"/>
  </w:num>
  <w:num w:numId="8">
    <w:abstractNumId w:val="34"/>
  </w:num>
  <w:num w:numId="9">
    <w:abstractNumId w:val="35"/>
  </w:num>
  <w:num w:numId="10">
    <w:abstractNumId w:val="30"/>
  </w:num>
  <w:num w:numId="11">
    <w:abstractNumId w:val="8"/>
  </w:num>
  <w:num w:numId="12">
    <w:abstractNumId w:val="42"/>
  </w:num>
  <w:num w:numId="13">
    <w:abstractNumId w:val="27"/>
  </w:num>
  <w:num w:numId="14">
    <w:abstractNumId w:val="12"/>
  </w:num>
  <w:num w:numId="15">
    <w:abstractNumId w:val="24"/>
  </w:num>
  <w:num w:numId="16">
    <w:abstractNumId w:val="26"/>
  </w:num>
  <w:num w:numId="17">
    <w:abstractNumId w:val="0"/>
  </w:num>
  <w:num w:numId="18">
    <w:abstractNumId w:val="16"/>
  </w:num>
  <w:num w:numId="19">
    <w:abstractNumId w:val="22"/>
  </w:num>
  <w:num w:numId="20">
    <w:abstractNumId w:val="25"/>
  </w:num>
  <w:num w:numId="21">
    <w:abstractNumId w:val="15"/>
  </w:num>
  <w:num w:numId="22">
    <w:abstractNumId w:val="21"/>
  </w:num>
  <w:num w:numId="23">
    <w:abstractNumId w:val="11"/>
  </w:num>
  <w:num w:numId="24">
    <w:abstractNumId w:val="7"/>
  </w:num>
  <w:num w:numId="25">
    <w:abstractNumId w:val="20"/>
  </w:num>
  <w:num w:numId="26">
    <w:abstractNumId w:val="33"/>
  </w:num>
  <w:num w:numId="27">
    <w:abstractNumId w:val="13"/>
  </w:num>
  <w:num w:numId="28">
    <w:abstractNumId w:val="37"/>
  </w:num>
  <w:num w:numId="29">
    <w:abstractNumId w:val="28"/>
  </w:num>
  <w:num w:numId="30">
    <w:abstractNumId w:val="6"/>
  </w:num>
  <w:num w:numId="31">
    <w:abstractNumId w:val="3"/>
  </w:num>
  <w:num w:numId="32">
    <w:abstractNumId w:val="1"/>
  </w:num>
  <w:num w:numId="33">
    <w:abstractNumId w:val="10"/>
  </w:num>
  <w:num w:numId="34">
    <w:abstractNumId w:val="40"/>
  </w:num>
  <w:num w:numId="35">
    <w:abstractNumId w:val="4"/>
  </w:num>
  <w:num w:numId="36">
    <w:abstractNumId w:val="18"/>
  </w:num>
  <w:num w:numId="37">
    <w:abstractNumId w:val="23"/>
  </w:num>
  <w:num w:numId="38">
    <w:abstractNumId w:val="36"/>
  </w:num>
  <w:num w:numId="39">
    <w:abstractNumId w:val="41"/>
  </w:num>
  <w:num w:numId="40">
    <w:abstractNumId w:val="32"/>
  </w:num>
  <w:num w:numId="41">
    <w:abstractNumId w:val="31"/>
  </w:num>
  <w:num w:numId="42">
    <w:abstractNumId w:val="14"/>
  </w:num>
  <w:num w:numId="43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9D828-B757-41DA-802C-7AD04E1C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BA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sz w:val="24"/>
      <w:szCs w:val="24"/>
      <w:lang w:val="hr-HR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lang w:val="sr-Latn-BA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r-Latn-B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sr-Latn-B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sr-Latn-BA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rPr>
      <w:vertAlign w:val="superscript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ascii="Calibri" w:eastAsia="Calibri" w:hAnsi="Calibri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sr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9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3439F-9708-4E49-8E60-C95C377F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1668</Words>
  <Characters>9508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Nedjo Gutalj</dc:creator>
  <cp:keywords/>
  <dc:description/>
  <cp:lastModifiedBy>Damir Soco</cp:lastModifiedBy>
  <cp:revision>25</cp:revision>
  <cp:lastPrinted>2023-08-29T13:23:00Z</cp:lastPrinted>
  <dcterms:created xsi:type="dcterms:W3CDTF">2023-05-23T08:00:00Z</dcterms:created>
  <dcterms:modified xsi:type="dcterms:W3CDTF">2023-08-31T13:59:00Z</dcterms:modified>
</cp:coreProperties>
</file>