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основу члана 7. став 1. тачка б) и чланова 36. и 70. Закона о Централној банци Босне и Херцеговине („Службени гласник БиХ“, бр. 1/97, 29/02, 8/03, 13/03, 14/03, 9/05, 76/06 и 32/07), Управни одбор Централне банке Босне и Херцеговине, на 7. сједници одржаној дана 28.07.2023. године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 xml:space="preserve">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8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 сједници одржаној дана 29.08.2023. године, доноси:</w:t>
      </w: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ОДЛУКУ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о начину обављања трансакција повећања и смањења средстава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на рачуну резерви у EUR  </w:t>
      </w: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1.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(Предмет одлуке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Овом одлуком уређује се начин обављања трансакција повећања и смањења средстава на рачуну резерви у EUR које Централна банка Босне и Херцеговине (у даљњем тексту: Централна банка) обавља с банкама у Босни и Херцеговини (у даљњем тексту: банка) у складу с прописом Централне банке о утврђивању и одржавању обавезних резерви и утврђивању накнаде на износ резерви.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2.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(Повећање и смањење средстава на рачуну резерви у EUR)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(1) Централна банка врши повећања и смањења средства на рачуну резерви у EUR на основу захтјева банке и то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:</w:t>
      </w:r>
    </w:p>
    <w:p>
      <w:pPr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а)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захтјева банке за повећање/смањење рачуна резерви у EUR по основу уплата/исплата преко рачуна у иностранству (у даљњем тексту захтјев за уплату/исплату – рачун резерви у EUR), за износ уплаћених/исплаћених средстава у EUR валути;</w:t>
      </w:r>
    </w:p>
    <w:p>
      <w:pPr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б)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захтјева банке за повећање/смањење рачуна резерви у EUR по основу преноса средстава са/на рачун резерви у КМ (у даљњем тексту захтјев за интерну куповину/продају КМ – рачун резерви EUR) за износ противриједности средства у EUR валути пренесених с/на рачун резерви у КМ.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(2) Радни дан је сваки радни дан како је одређено прописом Централне банке о утврђивању и одржавању обавезних резерви и утврђивању накнаде на износ резерви осим за извршавање трансакција по рачуну Централне банке у иностранству и рачуну резерви банке у EUR у погледу чега се примјењују и радни дани Таргет система дефинисани прописима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Евросистема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3.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(Подношење захтјева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(1) Банка подноси захтјев из члана 2. став (1) ове одлуке, организационом облику надлежном за послове банкарства у главној јединици или филијали Централне банке код које се води рачун резерви у EUR те банке (у даљњем тексту: организациони облик за банкарство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(2) Подношење захтјева из члана 2. став (1) ове одлуке и његово потврђивање од стране организационог облика за банкарство врши се путем софтверске платформе електронског међубанкарског тржишта новца (у даљњем тексту: ЕМТН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(3) У случају немогућности комуникације путем ЕМТН (пад система ЕМТН или у изузетним околностима уз образложени писани захтјев банке када се не ради о паду система ЕМТН), с организационим обликом за банкарство, комуникација се обавља путем факса или електорнске поште. У том случају, захтјеве обавезно потписују </w:t>
      </w: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овлашћене особе банке.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(4) Централна банка реализује само уредно попуњене и благовремено достављене захтјеве банака, поднесене и потврђене у складу с овом одлуком.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4.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</w:t>
      </w:r>
      <w:r>
        <w:rPr>
          <w:rFonts w:ascii="Times New Roman" w:eastAsia="Calibri" w:hAnsi="Times New Roman" w:cs="Times New Roman"/>
          <w:noProof/>
          <w:sz w:val="24"/>
          <w:szCs w:val="24"/>
        </w:rPr>
        <w:t>Уплата средстава на рачун у иностранству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(1) Када се повећање средстава на рачуну резерви у EUR врши уплатом средстава на рачун Централне банке у иностранству, Централна банка креира налог о уплати EUR с датумом валуте до два радна дана од датума пријема захтјева банке из члана 2. став (1) тачке а) ове одлуке који је дужна доставити организационом облику за банкарство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(2) Уколико се ради о захтјеву Т+0, банка је дужна тај захтјев доставити најкасније до 14.00 часова, у супротном се захтјев сматра закашњелим и одбијеним.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(3) Централна банка потврђује уредно попуњен и благовремено достављен захтјев банке, а банка најкасније до 14.30 часова на дан уплате, а након потврде захтјева, организационом облику за банкарство доставља СВИФТ поруку MT202 или пацс.009 као доказ о налогу/инструкцији за уплату средстава на рачун Централне банке у иностранству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(4)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Централна банка реализује налог о уплати EUR на рачун резерви банке у EUR на датум с којим је потврђена уплата банке на рачун Централне банке у иностранству. Уколико уплата на рачун Централне банке у иностранству не буде реализована до 16.00 часова истог дана, реализација налога о уплати EUR на рачун резерви банке у EUR биће наредни радни дан с уговореним датумом валуте, уколико средства буду евидентирана наредног дана на изводу рачуна Централне банке у иностранству, о чему ће банка бити благовремено обавијештена. Реализација налога о уплати с валутом наредни радни дан биће у случају да средства буду одобрена на ДБ-ЦИ (</w:t>
      </w:r>
      <w:r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Deutsche Bank Cash Inquiry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или ДБ-ДИ (</w:t>
      </w:r>
      <w:r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Deutsche Bank Direct Internet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или на рачуну код неке друге иностране банке код које Централна банка има отворен рачун најкасније до 13.00 часова наредног радног дана, при чему се примјењује правило Т+1,  а о чему ће банка бити благовремено обавијештена писаним путем.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(5) Уколико уплата на рачун Централне банке у иностранству не буде реализована у складу са ставом (4) овог члана, сматраће се да је банка одустала од уговорене трансакције, о чему ће банка бити обавијештена писаним путем те ће Централна банка, у разумном року, извршити повраћај средстава у складу с инструкцијом банке.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(6)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Реализацијом налога о уплати одобрава се рачун резерви у EUR.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5.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(Исплата средства с рачуна у иностранству)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(1) Када се смањење средстава на рачуну резерви у EUR врши исплатом у EUR валути на рачун банке у иностранству, Централна банка креира налог о исплати EUR с датумом валуте од два радна дана од датума подношења захтјева (Т+2), блокира средства на рачуну резерви банке до момента реализације и потврђује захтјев банке из члана 2. став (1) тачке а) ове одлуке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(2) Банка је дужна захтјев из става (1) овог члана доставити организационом облику за банкарство најкасније до 13.30 часова.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Уколико банка захтјев из става (1) овог члана достави Централној банци послије 13.30 часова, а најкасније до 14.30 часова, може одобрити такав захтјев.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(4) Уколико захтјев из става (1) овог члана буде достављен послије 13.30 часова, односно захтјев из става (3) овог члана буде достављен послије 14.30 часова, захтјев ће бити одбијен.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(5) Централна банка, у изузетним случајевима, на основу захтјева банке може одобрити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lastRenderedPageBreak/>
        <w:t>и извршити исплату у EUR валути на рачун банке у иностранству и с датумом валуте од један радни дан (Т+1) или с датумом валуте истог радног дана (Т+0), ако то могућности дозвољавају.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(6) Банка је дужна захтјев из става (5) овог члана доставити Централној банци најкасније до 11.00 часова за захтјев с валутом исти радни дан (Т+0), односно до 13.00 часова за захтјев с валутом један радни дан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Т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+1).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(7) Уколико захтјев с валутом (Т+0) буде достављен послије 11.00 часова, односно захтјев са валутом (Т+1) послије 13.00 часова, биће одбијен.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(8)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Реализацијом налога о исплати EUR се задужује рачун резерви у EUR.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6.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(Пренос средстава с рачуна резерви у КМ на рачун резерви у EUR)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Када се повећање средстава на рачуну резерви у EUR врши преносом средстава с рачуна резерви у КМ по захтјеву банке из члана 2. став (1) тачке б) ове одлуке, организациони облик за банкарство којем је поднесен захтјев банке, креира интерну закључницу о куповини КМ - рачун резерви у EUR (у даљњем тексту интерна закључница о куповини КМ) и потврђује захтјев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Интерна заључница о куповини КМ се креира с датумом валуте истог дана када је и поднесен захтјев, у случају да банка подноси захтјев до 14.00 часова. Уколико захтјев буде достављен послије 14.00 часова, исти ће бити одбијен.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Када банка подноси захтјев из става (1) овог члана с датумом валуте од један радни дан од датума подношења захтјева, организациони облик за банкарство креира интерну закључницу о куповини КМ с датумом назначеним у захтјеву банке. У овом случају банка подноси захтјев до 15.00 часова. Уколико захтјев буде достављен послије 15.00 часова, исти ће бити одбијен.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(4) </w:t>
      </w:r>
      <w:bookmarkStart w:id="0" w:name="_Hlk117004475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Креирањем интерне закључнице о куповини КМ из став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  <w:lang w:val="bs-Cyrl-BA"/>
        </w:rPr>
        <w:t>ов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а (2) и (3) овог члана, блокирају се средства на рачуну резерви у КМ до момента реализације.</w:t>
      </w:r>
    </w:p>
    <w:bookmarkEnd w:id="0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(5)Реализацијом интерне закључнице о куповини КМ, у сврху преноса средстава с рачуна резерви у КМ на рачун резерви у EUR, с истим датумом валуте се задужује рачун резерви у КМ и истовремено одобрава рачун резерви у EUR.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(6)С обзиром на то да интерна закључница о куповини КМ реализована у сврху повећања средства на рачуну резерви у EUR нема за посљедице промјену стања на рачуну Централне банке у иностранству, није потребно креирати платне налоге односно СВИФТ поруке МТ 202.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7.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(Пренос средстава с рачуна резерви у EUR на рачун резерви у KM)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Када се смањење средстава на рачуну резерви у EUR врши преносом средстава на рачун резерви у КМ по захтјеву банке из члана 2. став (1) тачке б) ове одлуке, организациони облик за банкарство којем је поднесен захтјев банке, креира интерну закључницу о продаји КМ – рачун резерви у EUR (у даљњем тексту интерна закључница о продаји КМ) и потврђује захтјев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Интерна заључница о продаји КМ креира се с датумом валуте истог дана када је и поднесен захтјев, у случају да банка подноси захтјев до 14.00 ч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val="sr-Cyrl-RS"/>
        </w:rPr>
        <w:t>асова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. Уколико захтјев буде достављен послије 14.00 ч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val="sr-Cyrl-RS"/>
        </w:rPr>
        <w:t>асова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, исти ће бити одбијен.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(3) Када банка подноси захтјев из става (1) овог члана с датумом валуте од један радни дан од датума подношења захтјева, организациони облик за банкарство креира интерну закључницу о продаји КМ с датумом назначеним у захтјеву банке. У овом случају банка подноси захтјев до 15.00 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val="sr-Cyrl-RS"/>
        </w:rPr>
        <w:t>асова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. Уколико захтјев буде достављен послије 15.00 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val="sr-Cyrl-RS"/>
        </w:rPr>
        <w:t>асова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, исти ће бити одбијен.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lastRenderedPageBreak/>
        <w:t xml:space="preserve">(4) </w:t>
      </w:r>
      <w:bookmarkStart w:id="1" w:name="_Hlk117004608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Креирањем интерне закључнице о продаји КМ из ставова (2) и (3) овог члана, блокирају се средства на рачуну резерви у EUR  до момента реализације.</w:t>
      </w:r>
    </w:p>
    <w:bookmarkEnd w:id="1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(5) Реализацијом интерне закључнице о продаји КМ, у сврху преноса средства с рачуна резерви у EUR на рачун резерви у КМ, с истим датумом валуте се задужује рачун резерви у EUR и истовремено одобрава рачун резерви у КМ.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(6) С обзиром на то да интерна закључница о продаји КМ реализована у сврху смањења средства на рачуну резерви у EUR нема за посљедице промјену стања на рачуну Централне банке у иностранству, није потребно креирати платне налоге односно СВИФТ поруке МТ 202 или пацс.009.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Члан 8.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Накнада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(1) Централна банка врши обрачун накнаде, у складу с прописом о тарифи накнада Централне банке, који аутоматски путем ЕМТН-а (потврдом захтјева) доставља банци.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(2) Наплата накнаде из става (1) овог члана врши се на мјесечном нивоу задуживањем рачуна резерви банке у КМ у корист рачуна Централне канцеларије Централне банке.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(Рачун Централне банке у иностранству)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У случају недоступности или немогућности обављања трансакција путем рачуна Централне банке из члана 4. ове одлуке отвореног код </w:t>
      </w:r>
      <w:r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Deutsche Bank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Централна банка ће банкама писаним путем доставити обавјештење о другом рачуну Централне банке са свим потребним инструкцијама за плаћање те ће пратити и провјеравати статус трансакције другим каналом комуникације.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Члан 10.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(Ступање на снагу и објављивање)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(1) Ова одлука ступа на снагу осмог дана од дана објављивања у “Службеном гласнику БиХ”, а примјењује се од 01.01.2024. године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.</w:t>
      </w:r>
    </w:p>
    <w:p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(2) Ова одлука објављује се у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Службеним новинама Федерације БиХ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Службеном гласнику Републике Српске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Службеном гласнику Брчко дистрикта БиХ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Предсједавајући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Управног одбора Централне банке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  <w:lang w:val="bs-Cyrl-BA"/>
        </w:rPr>
        <w:t>УВ</w:t>
      </w:r>
      <w:bookmarkStart w:id="2" w:name="_GoBack"/>
      <w:bookmarkEnd w:id="2"/>
      <w:r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122-02-1-1499-5</w:t>
      </w:r>
      <w:r>
        <w:rPr>
          <w:rFonts w:ascii="Times New Roman" w:eastAsia="Calibri" w:hAnsi="Times New Roman" w:cs="Times New Roman"/>
          <w:noProof/>
          <w:sz w:val="24"/>
          <w:szCs w:val="24"/>
        </w:rPr>
        <w:t>/23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Босне и Херцеговине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Сарајево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29.08.2023.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године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ГУВЕРНЕР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Др Сенад Софтић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B5A93"/>
    <w:multiLevelType w:val="hybridMultilevel"/>
    <w:tmpl w:val="16EA51F8"/>
    <w:lvl w:ilvl="0" w:tplc="7972A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A06D7"/>
    <w:multiLevelType w:val="hybridMultilevel"/>
    <w:tmpl w:val="4C38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9C5"/>
    <w:multiLevelType w:val="hybridMultilevel"/>
    <w:tmpl w:val="EB6A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7"/>
  </w:num>
  <w:num w:numId="4">
    <w:abstractNumId w:val="5"/>
  </w:num>
  <w:num w:numId="5">
    <w:abstractNumId w:val="39"/>
  </w:num>
  <w:num w:numId="6">
    <w:abstractNumId w:val="38"/>
  </w:num>
  <w:num w:numId="7">
    <w:abstractNumId w:val="2"/>
  </w:num>
  <w:num w:numId="8">
    <w:abstractNumId w:val="34"/>
  </w:num>
  <w:num w:numId="9">
    <w:abstractNumId w:val="35"/>
  </w:num>
  <w:num w:numId="10">
    <w:abstractNumId w:val="30"/>
  </w:num>
  <w:num w:numId="11">
    <w:abstractNumId w:val="8"/>
  </w:num>
  <w:num w:numId="12">
    <w:abstractNumId w:val="42"/>
  </w:num>
  <w:num w:numId="13">
    <w:abstractNumId w:val="27"/>
  </w:num>
  <w:num w:numId="14">
    <w:abstractNumId w:val="12"/>
  </w:num>
  <w:num w:numId="15">
    <w:abstractNumId w:val="24"/>
  </w:num>
  <w:num w:numId="16">
    <w:abstractNumId w:val="26"/>
  </w:num>
  <w:num w:numId="17">
    <w:abstractNumId w:val="0"/>
  </w:num>
  <w:num w:numId="18">
    <w:abstractNumId w:val="16"/>
  </w:num>
  <w:num w:numId="19">
    <w:abstractNumId w:val="22"/>
  </w:num>
  <w:num w:numId="20">
    <w:abstractNumId w:val="25"/>
  </w:num>
  <w:num w:numId="21">
    <w:abstractNumId w:val="15"/>
  </w:num>
  <w:num w:numId="22">
    <w:abstractNumId w:val="21"/>
  </w:num>
  <w:num w:numId="23">
    <w:abstractNumId w:val="11"/>
  </w:num>
  <w:num w:numId="24">
    <w:abstractNumId w:val="7"/>
  </w:num>
  <w:num w:numId="25">
    <w:abstractNumId w:val="20"/>
  </w:num>
  <w:num w:numId="26">
    <w:abstractNumId w:val="33"/>
  </w:num>
  <w:num w:numId="27">
    <w:abstractNumId w:val="13"/>
  </w:num>
  <w:num w:numId="28">
    <w:abstractNumId w:val="37"/>
  </w:num>
  <w:num w:numId="29">
    <w:abstractNumId w:val="28"/>
  </w:num>
  <w:num w:numId="30">
    <w:abstractNumId w:val="6"/>
  </w:num>
  <w:num w:numId="31">
    <w:abstractNumId w:val="3"/>
  </w:num>
  <w:num w:numId="32">
    <w:abstractNumId w:val="1"/>
  </w:num>
  <w:num w:numId="33">
    <w:abstractNumId w:val="10"/>
  </w:num>
  <w:num w:numId="34">
    <w:abstractNumId w:val="40"/>
  </w:num>
  <w:num w:numId="35">
    <w:abstractNumId w:val="4"/>
  </w:num>
  <w:num w:numId="36">
    <w:abstractNumId w:val="18"/>
  </w:num>
  <w:num w:numId="37">
    <w:abstractNumId w:val="23"/>
  </w:num>
  <w:num w:numId="38">
    <w:abstractNumId w:val="36"/>
  </w:num>
  <w:num w:numId="39">
    <w:abstractNumId w:val="41"/>
  </w:num>
  <w:num w:numId="40">
    <w:abstractNumId w:val="32"/>
  </w:num>
  <w:num w:numId="41">
    <w:abstractNumId w:val="31"/>
  </w:num>
  <w:num w:numId="42">
    <w:abstractNumId w:val="14"/>
  </w:num>
  <w:num w:numId="43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9D828-B757-41DA-802C-7AD04E1C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439F-9708-4E49-8E60-C95C377F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25</cp:revision>
  <cp:lastPrinted>2023-08-29T13:23:00Z</cp:lastPrinted>
  <dcterms:created xsi:type="dcterms:W3CDTF">2023-05-23T08:00:00Z</dcterms:created>
  <dcterms:modified xsi:type="dcterms:W3CDTF">2023-08-31T13:59:00Z</dcterms:modified>
</cp:coreProperties>
</file>