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osnovu člana 2. stav 3. tačka c), člana 7. tačka b), članova 58, 68. i 70. Zakona o Centralnoj banci Bosne i Hercegovine (“Službeni glasnik BiH“, br. 1/97, 29/02, 8/03 13/03, 14/03, 9/05, 76/06 i 32/07) i članova 5, 12, 14. i 21. Odluke o nadgledanju funkcionisanja platnih sistema (“Službeni glasnik BiH“, br. 76/22), Upravno vijeće Centralne banke Bosne i Hercegovine, na 12. sjednici održanoj dana 14.08.2024. godine, donosi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highlight w:val="yellow"/>
          <w:lang w:val="bs-Latn-BA"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highlight w:val="yellow"/>
          <w:lang w:val="bs-Latn-BA" w:eastAsia="en-GB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bs-Latn-BA"/>
        </w:rPr>
        <w:t>o dostavljanju podataka o funkcionisanju platnog sistema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(Predmet odluke)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>Ovom Odlukom detaljnije se uređuje sadržaj i način dostavljanja izvještaja, dokumenata i drugih podataka od strane nadgledanih platnih sistema koji su određeni članom 2. Odluke o nadgledanju funkcionisanja platnih sistema („Službeni glasnik BiH“, br. 76/22), odnosno platnih sistema koje Centralna banka Bosne i Hercegovine u skladu sa članom 2 stav 3 tačka c Zakona o Centralnoj banci Bosne i Hercegovine potpomaže ili uspostavlja i održava, klasifikovani u skladu sa članom 6 Odluke o nadgledanje funkcionisanja platnih sistema („Službeni glasnik BiH“, br. 76/22).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(Vrste izvještaja, dokumenata i podataka)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Nadgledani platni sistem priprema i dostavlja Centralnoj banci sljedeće vrste izvještaja, dokumenata i podataka: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bookmarkStart w:id="0" w:name="_Hlk150949433"/>
      <w:r>
        <w:rPr>
          <w:kern w:val="1"/>
          <w:lang w:val="bs-Latn-BA" w:eastAsia="ar-SA"/>
        </w:rPr>
        <w:t>izvještaj o funkcionisanju platnog sistema</w:t>
      </w:r>
      <w:bookmarkEnd w:id="0"/>
      <w:r>
        <w:rPr>
          <w:kern w:val="1"/>
          <w:lang w:val="bs-Latn-BA" w:eastAsia="ar-SA"/>
        </w:rPr>
        <w:t>;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bookmarkStart w:id="1" w:name="_Hlk150949911"/>
      <w:r>
        <w:rPr>
          <w:kern w:val="1"/>
          <w:lang w:val="bs-Latn-BA" w:eastAsia="ar-SA"/>
        </w:rPr>
        <w:t>izvještaji, dokumenti i podaci o performansama, arhitekturi, promjenama arhitekture, učesnicima i ostalim bitnim aspektima funkcionisanja platnog sistema</w:t>
      </w:r>
      <w:bookmarkEnd w:id="1"/>
      <w:r>
        <w:rPr>
          <w:kern w:val="1"/>
          <w:lang w:val="bs-Latn-BA" w:eastAsia="ar-SA"/>
        </w:rPr>
        <w:t>;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izvještaje o incidentu u platnom sistemu;</w:t>
      </w:r>
    </w:p>
    <w:p>
      <w:pPr>
        <w:pStyle w:val="ListParagraph"/>
        <w:numPr>
          <w:ilvl w:val="0"/>
          <w:numId w:val="8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izvještaje o upravljanju rizicima platnog sistema.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(Izvještaj o funkcionisanju platnog sistema)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(1) Nadgledani platni sistem je dužan Centralnoj banci dostavljati izvještaj o funkcionisanju platnog sistema koji obuhvata minimalno sljedeće kvantitativne i kvalitativne podatke: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spisak učesnika (puni naziv učesnika iz rješenja o registraciji pravnog lica);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radni dani sistema u izvještajnom periodu (ukoliko sistem nije radio na dan koji nije propisan kao neradni dan pravilima rada sistema potrebno je navesti razlog);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izvršenih transakcija po danu;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izvršenih transakcija za svakog učesnika po danu;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izvršenih transakcija poravnanja za sisteme koji se poravnavaju u platnom sistemu po danu;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transakcija na dan najvećeg prometa;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transakcija u satu najvećeg prometa;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vrijednost transakcija za intervale u BAM: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0,01 – 10,00,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10,01 – 100,00,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100,01 – 500,00,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500,01 – 2000,00,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2000,01 – 5.000,00,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lastRenderedPageBreak/>
        <w:t>5.000,01 – 10.000,00,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10.000,01 – 20.000,00,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20.000,01 – 100.000,00,</w:t>
      </w:r>
    </w:p>
    <w:p>
      <w:pPr>
        <w:pStyle w:val="ListParagraph"/>
        <w:numPr>
          <w:ilvl w:val="0"/>
          <w:numId w:val="10"/>
        </w:numPr>
        <w:ind w:left="1276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100.000,01 – više;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trajanje prekida u radu platnog sistema (upisati podatke po svakom zabilježenom prekidu i agregatno za izvještajni period i vremenski interval) i opis za svaki prekid;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broj i trajanje produženja radnog dana sistema (upisati podatke po svakom zabilježenom produženju i agregatno za izvještajni period i vremenski interval) i opis za svako produženje;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pregled neporavnatih plaćanja po danu i učesniku;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pregled odgođenih plaćanja po danu i učesniku;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korištenje dodatnih izvora zbog zastoja u poravnanju (broj, vrijednost i vrsta naloga kod kojih se desio zastoj u poravnanju, te vrijednost mobilisanih dodatnih sredstava);</w:t>
      </w:r>
    </w:p>
    <w:p>
      <w:pPr>
        <w:pStyle w:val="ListParagraph"/>
        <w:numPr>
          <w:ilvl w:val="0"/>
          <w:numId w:val="9"/>
        </w:numPr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informacije o opozivu poravnanja (navesti dan, broj i vrijednost, te razlog opoziva poravnanja).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(2) Izvještaj iz stava (1) ovog člana se dostavljaju mjesečno u roku od tri radna dana po isteku izvještajnog mjeseca.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4.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>(Izvještaji, dokumenti i podaci o performansama, arhitekturi, promjenama arhitekture, učesnicima i ostalim bitnim aspektima funkcionisanja platnog sistema)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>(1) Nadgledani platni sistem je dužan dostaviti Centralnoj banci sve dostupne izvještaje, dokumente i podatke o performansama, arhitekturi, promjenama arhitekture, učesnicima i ostalim bitnim aspektima funkcionisanja platnog sistema i to kako slijedi: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aktuelna organizacija upravljanja platnim sistemom (aktuelne verzije organizacione šeme i relevantne informacije o nadležnostima kada je u pitanju organizacija platnog sistema);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aktuelne verzije ključnih dokumenata vezani za dizajn i funkcionisanje sistema;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izvještaj koji sadrži relevantnu dokumentaciju koja potvrđuje operativni kapacitet sistema, odnosno testiranje skalabilnosti i adekvatnost kapaciteta za upravljanje projiciranim volumenima stresa;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analize ciljeva koji služe kao mjerilo za procjenu efikasnosti i efektivnosti platnog sistema;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 xml:space="preserve">aktuelne verzije pravnih, organizacijskih i tehničkih aranžmana sa </w:t>
      </w:r>
      <w:proofErr w:type="spellStart"/>
      <w:r>
        <w:rPr>
          <w:lang w:val="bs-Latn-BA"/>
        </w:rPr>
        <w:t>pružaocima</w:t>
      </w:r>
      <w:proofErr w:type="spellEnd"/>
      <w:r>
        <w:rPr>
          <w:lang w:val="bs-Latn-BA"/>
        </w:rPr>
        <w:t xml:space="preserve"> usluga;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aktuelne verzije revizorskih izvještaja;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 xml:space="preserve">izvještaje o učesnicima u platnom sistemu odmah po nastanku istog, a koji obuhvataju </w:t>
      </w:r>
      <w:proofErr w:type="spellStart"/>
      <w:r>
        <w:rPr>
          <w:lang w:val="bs-Latn-BA"/>
        </w:rPr>
        <w:t>isključenje</w:t>
      </w:r>
      <w:proofErr w:type="spellEnd"/>
      <w:r>
        <w:rPr>
          <w:lang w:val="bs-Latn-BA"/>
        </w:rPr>
        <w:t xml:space="preserve"> učesnika, ponovno uključenje učesnika, uključenje novog učesnika, statusne promjene učesnika;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ugovore sa učesnicima, informacije i izvještaje o relevantnoj korespondenciji sa učesnicima u platnom sistemu o pitanjima i dokumentima od značaja za funkcionisanje platnog sistema (npr. zapisnici sa sastanaka, povratne informacije od učesnika i sl.)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 xml:space="preserve">ugovore, informacije i izvještaje o korespondenciji koje nadgledani platni sistem vodi s internim ili eksternim </w:t>
      </w:r>
      <w:proofErr w:type="spellStart"/>
      <w:r>
        <w:rPr>
          <w:lang w:val="bs-Latn-BA"/>
        </w:rPr>
        <w:t>pružaocima</w:t>
      </w:r>
      <w:proofErr w:type="spellEnd"/>
      <w:r>
        <w:rPr>
          <w:lang w:val="bs-Latn-BA"/>
        </w:rPr>
        <w:t xml:space="preserve"> usluga;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planove za kontinuitet poslovanja i planove za upravljanje krizom;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planove testiranja kontinuiteta poslovanja i planove testiranja za upravljanje krizom odmah po nastanku, a najkasnije do početka kalendarske godine na koju se planiranje odnosi;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izvještaje o izvršenim redovnim i vanrednim testiranjima kontinuiteta poslovanja i upravljanja krizom odmah po završenom testiranju, a najkasnije u roku od tri radna dana po završenom testiranju;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lastRenderedPageBreak/>
        <w:t>dokumentaciju i sve druge relevantne informacije vezane za promjene pravila rada sistema;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dokumentaciju i sve druge relevantne informacije vezane za promjene u arhitekturi sistema, što uključuje dokumente i izvještaje kojima se potvrđuje informisanje učesnika u platnom sistemu o promjeni, te prateće izvještaje o provedenom testiranju, te procjeni rizika promjene, najkasnije u roku od tri radna dana po nastanku promjene;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dokumentaciju i sve druge relevantne informacije vezane za promjene u vezi s drugim sistemima odmah po nastanku promjene, a najkasnije u roku od tri radna dana po nastanku promjene, osim za promjene utvrđene stavom (3) ovog člana;</w:t>
      </w:r>
    </w:p>
    <w:p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>
        <w:rPr>
          <w:lang w:val="bs-Latn-BA"/>
        </w:rPr>
        <w:t>strateške i godišnje planove za promjene u platnom sistemu koje se tiču poslovnog modela, aranžmana upravljanja, kao i za glavne promjene u vezi sa tehnologijom ili kapacitetom sistema, uključujući i inicijalnu projektnu dokumentaciju i studije izvodljivosti za nove projekte odmah po donošenju, a najkasnije do početka kalendarske godine na koju se planiranje odnosi.</w:t>
      </w:r>
    </w:p>
    <w:p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>(2) Nadgledani platni sistem je dužan Centralnoj banci dostaviti izvještaje, dokumente i podatke:</w:t>
      </w:r>
    </w:p>
    <w:p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>
        <w:rPr>
          <w:lang w:val="bs-Latn-BA"/>
        </w:rPr>
        <w:t>iz tačaka a), b), e), f), m) stava (1) ovog člana u roku od 30 dana od dana nastanka;</w:t>
      </w:r>
    </w:p>
    <w:p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>
        <w:rPr>
          <w:lang w:val="bs-Latn-BA"/>
        </w:rPr>
        <w:t>iz tačaka c), d), h), i), j) stava (1) ovog člana minimalno jednom godišnje;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kern w:val="20"/>
          <w:sz w:val="24"/>
          <w:szCs w:val="24"/>
          <w:lang w:val="bs-Latn-BA" w:eastAsia="hr-HR"/>
        </w:rPr>
        <w:t xml:space="preserve">(3) U slučaju promjena koje mogu imati značajan uticaj na rad platnog sistema u smislu promjene usklađenosti sa principima i propisima koje donosi Centralna banka, nadgledani platni sistem je dužan o tome obavijestiti Centralnu banku najkasnije 10 radnih dana prije planirane implementacije promjene. </w:t>
      </w:r>
    </w:p>
    <w:p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5.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  <w:t>(Izvještaji o incidentu u platnom sistemu)</w:t>
      </w:r>
    </w:p>
    <w:p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(1) Nadgledani platni sistem je u slučaju incidenta u platnom sistemu dužan Centralnu banku obavijestiti o tome najkasnije naredni radni dan od nastanka incidenta i dostaviti sve dostupne podatke i informacije, a u roku od tri dana od nastanka incidenta dostaviti i izvještaj o incidentu u platnom sistemu.</w:t>
      </w:r>
    </w:p>
    <w:p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(2) Izvještaj o incidentu u platnom sistemu iz stava (1) ovog člana sadrži minimalno sljedeće podatke: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rFonts w:eastAsiaTheme="minorHAnsi"/>
          <w:kern w:val="1"/>
          <w:lang w:val="bs-Latn-BA" w:eastAsia="ar-SA"/>
        </w:rPr>
        <w:t>datum i vrijeme nastanka incidenta</w:t>
      </w:r>
      <w:r>
        <w:rPr>
          <w:kern w:val="1"/>
          <w:lang w:val="bs-Latn-BA" w:eastAsia="ar-SA"/>
        </w:rPr>
        <w:t>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>vremensko trajanje incidenta,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>uticaj na nivo usluge platnog sistema (sa svim dostupnim kvalitativnim i kvantitativnim podacima),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>uticaj na učesnike platnog sistema,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/>
          <w:lang w:val="bs-Latn-BA"/>
        </w:rPr>
      </w:pPr>
      <w:r>
        <w:rPr>
          <w:kern w:val="1"/>
          <w:lang w:val="bs-Latn-BA" w:eastAsia="ar-SA"/>
        </w:rPr>
        <w:t xml:space="preserve">o preduzetim radnjama u cilju obavještavanja i informisanja učesnika platnog sistema, </w:t>
      </w:r>
      <w:proofErr w:type="spellStart"/>
      <w:r>
        <w:rPr>
          <w:kern w:val="1"/>
          <w:lang w:val="bs-Latn-BA" w:eastAsia="ar-SA"/>
        </w:rPr>
        <w:t>pružaoca</w:t>
      </w:r>
      <w:proofErr w:type="spellEnd"/>
      <w:r>
        <w:rPr>
          <w:kern w:val="1"/>
          <w:lang w:val="bs-Latn-BA" w:eastAsia="ar-SA"/>
        </w:rPr>
        <w:t xml:space="preserve"> kritičnih usluga platnog sistema i po potrebi ostalih zainteresovanih strana, a prije svega onih sa povezanim infrastrukturama finansijskog tržišta. </w:t>
      </w:r>
    </w:p>
    <w:p>
      <w:pPr>
        <w:pStyle w:val="ListParagraph"/>
        <w:ind w:left="0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(3) Nadgledani platni sistem je dužan Centralnoj banci u roku od 20 radnih dana od dana nastanka incidenta dostaviti i izvještaj sa informacijama o sveobuhvatnom opisu incidenta koje uključuju identifikovanje glavnog uzroka nastanka incidenta, a ako je moguće i sve detalje u vezi sa korektivnim aktivnostima koje su preduzete.</w:t>
      </w:r>
    </w:p>
    <w:p>
      <w:pPr>
        <w:pStyle w:val="ListParagraph"/>
        <w:ind w:left="0"/>
        <w:jc w:val="both"/>
        <w:rPr>
          <w:kern w:val="1"/>
          <w:lang w:val="bs-Latn-BA" w:eastAsia="ar-SA"/>
        </w:rPr>
      </w:pPr>
      <w:r>
        <w:rPr>
          <w:kern w:val="1"/>
          <w:lang w:val="bs-Latn-BA" w:eastAsia="ar-SA"/>
        </w:rPr>
        <w:t>(4) Ukoliko Centralna banka ocijeni da je izvještaj iz stava (3) ovog člana nepotpun, nadgledani platni sistem je dužan svakih 90 dana izvještavati Centralnu banku o statusu preduzetnih aktivnosti sve do dostavljanja potpunog izvještaja u smislu stava (3) ovog člana.</w:t>
      </w: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pStyle w:val="ListParagraph"/>
        <w:ind w:left="0"/>
        <w:jc w:val="both"/>
        <w:rPr>
          <w:kern w:val="1"/>
          <w:lang w:val="bs-Latn-BA" w:eastAsia="ar-S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Član 6.</w:t>
      </w:r>
    </w:p>
    <w:p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</w:t>
      </w:r>
      <w:bookmarkStart w:id="2" w:name="_Hlk150949220"/>
      <w:r>
        <w:rPr>
          <w:rFonts w:ascii="Times New Roman" w:hAnsi="Times New Roman" w:cs="Times New Roman"/>
          <w:b/>
          <w:sz w:val="24"/>
          <w:szCs w:val="24"/>
          <w:lang w:val="bs-Latn-BA"/>
        </w:rPr>
        <w:t>Izvještaj o upravljanju rizicima platnog sistema</w:t>
      </w:r>
      <w:bookmarkEnd w:id="2"/>
      <w:r>
        <w:rPr>
          <w:rFonts w:ascii="Times New Roman" w:hAnsi="Times New Roman" w:cs="Times New Roman"/>
          <w:b/>
          <w:sz w:val="24"/>
          <w:szCs w:val="24"/>
          <w:lang w:val="bs-Latn-BA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(1) Nadgledani platni sistem je dužan Centralnoj banci najkasnije do 31.03. tekuće godine za prethodnu godinu dostaviti izvještaj o upravljanju rizicima platnog sistema koji sadrži metodološki okvir i sve potrebne informacije o identifikovanim rizicima, ocjeni rizika i preduzetim akcijama.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(2) Ukoliko se desi okolnost koja utiče na promjenu vrste ili nivoa rizika, ili na promjenu upravljanja rizicima platnog sistema, nadgledani platni sistem je o tome dužan u što kraćem roku, a ne dužem od 30 dana od nastanka predmetne okolnosti dostaviti izvještaj Centralnoj banci o okolnostima, uticaju promjene na profil rizika i upravljanje.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7.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(Ostali izvještaji, dokumenti i podaci)</w:t>
      </w:r>
    </w:p>
    <w:p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 xml:space="preserve">(1) </w:t>
      </w: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Nadgledani platni sistem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 xml:space="preserve"> je dužan na zahtjev Centralne banke dostaviti i vanredne izvještaje o funkcionisanju platnog sistema.</w:t>
      </w:r>
    </w:p>
    <w:p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bs-Latn-BA" w:eastAsia="ar-SA"/>
        </w:rPr>
        <w:t>(2) Izgled, sadržaj i rokove dostavljanja vanrednih izvještaja utvrđuje Centralna banka.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 8.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(Obavještavanje u slučaju nemogućnosti izvršenja obaveze)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Ukoliko </w:t>
      </w:r>
      <w:r>
        <w:rPr>
          <w:rFonts w:ascii="Times New Roman" w:hAnsi="Times New Roman" w:cs="Times New Roman"/>
          <w:kern w:val="1"/>
          <w:sz w:val="24"/>
          <w:szCs w:val="24"/>
          <w:lang w:val="bs-Latn-BA" w:eastAsia="ar-SA"/>
        </w:rPr>
        <w:t>nadgledani platni sistem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nije u mogućnosti izvršiti bilo koju obavezu iz ove odluke u utvrđenom roku, dužan je odmah obavijestiti Centralnu banku o razlozima i očekivanom vremenu za izvršavanje neispunjenih obaveza.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Član 9.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(Završne odredbe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(1) Ova odluka stupa na snagu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osmog dana od dana objavljivanja na intranet-stranici Centralne banke.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(2) Ova odluka će se objaviti i na internet-stranici Centralne banke.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>Predsjedavajuća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Broj: UV-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122-02-1-1505-4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/24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Upravnog vijeća Centralne banke 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Sarajevo, 14.08.2024.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Bosne i Hercegovine 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GUVERNERKA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>dr. Jasmina Selimović</w:t>
      </w:r>
    </w:p>
    <w:p>
      <w:pP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sectPr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="Times New Roman" w:hAnsi="Times New Roman" w:cs="Times New Roman"/>
        <w:caps/>
        <w:noProof/>
      </w:rPr>
    </w:pPr>
    <w:r>
      <w:rPr>
        <w:rFonts w:ascii="Times New Roman" w:hAnsi="Times New Roman" w:cs="Times New Roman"/>
        <w:caps/>
      </w:rPr>
      <w:fldChar w:fldCharType="begin"/>
    </w:r>
    <w:r>
      <w:rPr>
        <w:rFonts w:ascii="Times New Roman" w:hAnsi="Times New Roman" w:cs="Times New Roman"/>
        <w:caps/>
      </w:rPr>
      <w:instrText xml:space="preserve"> PAGE   \* MERGEFORMAT </w:instrText>
    </w:r>
    <w:r>
      <w:rPr>
        <w:rFonts w:ascii="Times New Roman" w:hAnsi="Times New Roman" w:cs="Times New Roman"/>
        <w:caps/>
      </w:rPr>
      <w:fldChar w:fldCharType="separate"/>
    </w:r>
    <w:r>
      <w:rPr>
        <w:rFonts w:ascii="Times New Roman" w:hAnsi="Times New Roman" w:cs="Times New Roman"/>
        <w:caps/>
        <w:noProof/>
      </w:rPr>
      <w:t>4</w:t>
    </w:r>
    <w:r>
      <w:rPr>
        <w:rFonts w:ascii="Times New Roman" w:hAnsi="Times New Roman" w:cs="Times New Roman"/>
        <w:caps/>
        <w:noProof/>
      </w:rPr>
      <w:fldChar w:fldCharType="end"/>
    </w:r>
    <w:r>
      <w:rPr>
        <w:rFonts w:ascii="Times New Roman" w:hAnsi="Times New Roman" w:cs="Times New Roman"/>
        <w:caps/>
        <w:noProof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tabs>
        <w:tab w:val="left" w:pos="225"/>
      </w:tabs>
      <w:rPr>
        <w:rFonts w:ascii="Times New Roman" w:hAnsi="Times New Roman" w:cs="Times New Roman"/>
        <w:sz w:val="24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A19"/>
    <w:multiLevelType w:val="hybridMultilevel"/>
    <w:tmpl w:val="89A4F9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67"/>
    <w:multiLevelType w:val="hybridMultilevel"/>
    <w:tmpl w:val="1C1A5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F2B"/>
    <w:multiLevelType w:val="hybridMultilevel"/>
    <w:tmpl w:val="C46C0822"/>
    <w:lvl w:ilvl="0" w:tplc="B008C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323C4"/>
    <w:multiLevelType w:val="hybridMultilevel"/>
    <w:tmpl w:val="B1BA9BDC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7D64E3"/>
    <w:multiLevelType w:val="hybridMultilevel"/>
    <w:tmpl w:val="41304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A45"/>
    <w:multiLevelType w:val="hybridMultilevel"/>
    <w:tmpl w:val="0248E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3CC"/>
    <w:multiLevelType w:val="hybridMultilevel"/>
    <w:tmpl w:val="EBC68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50D"/>
    <w:multiLevelType w:val="hybridMultilevel"/>
    <w:tmpl w:val="9918C6C6"/>
    <w:lvl w:ilvl="0" w:tplc="040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141F08"/>
    <w:multiLevelType w:val="hybridMultilevel"/>
    <w:tmpl w:val="0476839A"/>
    <w:lvl w:ilvl="0" w:tplc="675A6EB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5F2D"/>
    <w:multiLevelType w:val="hybridMultilevel"/>
    <w:tmpl w:val="20523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1A6B"/>
    <w:multiLevelType w:val="hybridMultilevel"/>
    <w:tmpl w:val="643833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E7E2E"/>
    <w:multiLevelType w:val="hybridMultilevel"/>
    <w:tmpl w:val="13C82C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5848EFC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D3555"/>
    <w:multiLevelType w:val="hybridMultilevel"/>
    <w:tmpl w:val="49E42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50D9A"/>
    <w:multiLevelType w:val="hybridMultilevel"/>
    <w:tmpl w:val="062883A6"/>
    <w:lvl w:ilvl="0" w:tplc="E2F80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73F4E"/>
    <w:multiLevelType w:val="hybridMultilevel"/>
    <w:tmpl w:val="F8682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FB5BA0-D38A-42C7-B4C5-E6A956B7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36CF-C009-42F4-AE3E-DFA7B135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 Tvico</dc:creator>
  <cp:keywords/>
  <dc:description/>
  <cp:lastModifiedBy>Damir Soco</cp:lastModifiedBy>
  <cp:revision>9</cp:revision>
  <dcterms:created xsi:type="dcterms:W3CDTF">2024-07-17T10:06:00Z</dcterms:created>
  <dcterms:modified xsi:type="dcterms:W3CDTF">2024-09-04T12:37:00Z</dcterms:modified>
</cp:coreProperties>
</file>