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1C93" w:rsidRDefault="00D13FCF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  <w:lang w:val="bs-Latn-BA"/>
        </w:rPr>
      </w:pPr>
      <w:bookmarkStart w:id="0" w:name="_GoBack"/>
      <w:bookmarkEnd w:id="0"/>
      <w:r>
        <w:rPr>
          <w:rFonts w:ascii="Times New Roman" w:eastAsia="Times New Roman" w:hAnsi="Times New Roman"/>
          <w:sz w:val="24"/>
          <w:szCs w:val="24"/>
          <w:lang w:val="bs-Latn-BA"/>
        </w:rPr>
        <w:t>Na temelju članka 2. stavak (3) točka c), članka 7. stavak (1) točka b) i članka 70. Zakona o Centralnoj banci Bosne i Hercegovine („Službeni glasnik BiH“, br. 1/97, 29/02, 8/03, 13/03, 14/03, 9/05, 76/06 i 32/07), Upravno vijeće Centralne banke Bosne i He</w:t>
      </w:r>
      <w:r>
        <w:rPr>
          <w:rFonts w:ascii="Times New Roman" w:eastAsia="Times New Roman" w:hAnsi="Times New Roman"/>
          <w:sz w:val="24"/>
          <w:szCs w:val="24"/>
          <w:lang w:val="bs-Latn-BA"/>
        </w:rPr>
        <w:t xml:space="preserve">rcegovine, na 13. sjednici održanoj dana 20.12.2025. godine, donosi </w:t>
      </w:r>
    </w:p>
    <w:p w:rsidR="00781C93" w:rsidRDefault="00781C9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bs-Latn-BA"/>
        </w:rPr>
      </w:pPr>
    </w:p>
    <w:p w:rsidR="00781C93" w:rsidRDefault="00781C9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bs-Latn-BA"/>
        </w:rPr>
      </w:pPr>
    </w:p>
    <w:p w:rsidR="00781C93" w:rsidRDefault="00D13FC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bs-Latn-BA"/>
        </w:rPr>
      </w:pPr>
      <w:r>
        <w:rPr>
          <w:rFonts w:ascii="Times New Roman" w:eastAsia="Times New Roman" w:hAnsi="Times New Roman"/>
          <w:b/>
          <w:sz w:val="24"/>
          <w:szCs w:val="24"/>
          <w:lang w:val="bs-Latn-BA"/>
        </w:rPr>
        <w:t>Odluku o izmjeni i dopunama Odluke o utvrđivanju</w:t>
      </w:r>
    </w:p>
    <w:p w:rsidR="00781C93" w:rsidRDefault="00D13FCF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24"/>
          <w:szCs w:val="24"/>
          <w:lang w:val="bs-Latn-BA"/>
        </w:rPr>
      </w:pPr>
      <w:r>
        <w:rPr>
          <w:rFonts w:ascii="Times New Roman" w:eastAsia="Times New Roman" w:hAnsi="Times New Roman"/>
          <w:b/>
          <w:sz w:val="24"/>
          <w:szCs w:val="24"/>
          <w:lang w:val="bs-Latn-BA"/>
        </w:rPr>
        <w:t>operativnih pravila za bruto poravnanje u realnom vremenu</w:t>
      </w:r>
    </w:p>
    <w:p w:rsidR="00781C93" w:rsidRDefault="00781C9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bs-Latn-BA"/>
        </w:rPr>
      </w:pPr>
    </w:p>
    <w:p w:rsidR="00781C93" w:rsidRDefault="00781C9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bs-Latn-BA"/>
        </w:rPr>
      </w:pPr>
    </w:p>
    <w:p w:rsidR="00781C93" w:rsidRDefault="00D13FCF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kern w:val="3"/>
          <w:sz w:val="24"/>
          <w:szCs w:val="24"/>
          <w:lang w:val="bs-Latn-BA" w:eastAsia="hr-BA"/>
        </w:rPr>
      </w:pPr>
      <w:r>
        <w:rPr>
          <w:rFonts w:ascii="Times New Roman" w:eastAsia="Times New Roman" w:hAnsi="Times New Roman"/>
          <w:kern w:val="3"/>
          <w:sz w:val="24"/>
          <w:szCs w:val="24"/>
          <w:lang w:val="bs-Latn-BA" w:eastAsia="hr-BA"/>
        </w:rPr>
        <w:t>Članak 1.</w:t>
      </w:r>
    </w:p>
    <w:p w:rsidR="00781C93" w:rsidRDefault="00D13FCF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/>
          <w:kern w:val="3"/>
          <w:sz w:val="24"/>
          <w:szCs w:val="24"/>
          <w:lang w:val="bs-Latn-BA" w:eastAsia="hr-BA"/>
        </w:rPr>
        <w:t>(1) U Odluci o utvrđivanju operativnih pravila za bruto poravnanje</w:t>
      </w:r>
      <w:r>
        <w:rPr>
          <w:rFonts w:ascii="Times New Roman" w:eastAsia="Times New Roman" w:hAnsi="Times New Roman"/>
          <w:kern w:val="3"/>
          <w:sz w:val="24"/>
          <w:szCs w:val="24"/>
          <w:lang w:val="bs-Latn-BA" w:eastAsia="hr-BA"/>
        </w:rPr>
        <w:t xml:space="preserve"> u realnom vremenu </w:t>
      </w:r>
      <w:r>
        <w:rPr>
          <w:rFonts w:ascii="Times New Roman" w:eastAsia="Times New Roman" w:hAnsi="Times New Roman"/>
          <w:sz w:val="24"/>
          <w:szCs w:val="24"/>
          <w:lang w:val="bs-Latn-BA"/>
        </w:rPr>
        <w:t>(„Službeni glasnik BiH“, br. 31/16 i 37/19) u članku 12. stavku (2) brišu se posljednje dvije rečenice.</w:t>
      </w:r>
    </w:p>
    <w:p w:rsidR="00781C93" w:rsidRDefault="00D13FCF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/>
          <w:sz w:val="24"/>
          <w:szCs w:val="24"/>
          <w:lang w:val="bs-Latn-BA"/>
        </w:rPr>
        <w:t>(2) Iza stavka (2) dodaju se stavci (3) i (4) koji glase:</w:t>
      </w:r>
    </w:p>
    <w:p w:rsidR="00781C93" w:rsidRDefault="00D13FCF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/>
          <w:sz w:val="24"/>
          <w:szCs w:val="24"/>
          <w:lang w:val="bs-Latn-BA"/>
        </w:rPr>
        <w:t>„(3) Do dana prelaska na uporabu novog SWIFT MX formata poruka, vrste poruk</w:t>
      </w:r>
      <w:r>
        <w:rPr>
          <w:rFonts w:ascii="Times New Roman" w:eastAsia="Times New Roman" w:hAnsi="Times New Roman"/>
          <w:sz w:val="24"/>
          <w:szCs w:val="24"/>
          <w:lang w:val="bs-Latn-BA"/>
        </w:rPr>
        <w:t>a plaćanja su: MT102, MT103, MT202 i MT205. Obvezno je popunjavanje polja 103 u zaglavlju poruke servisnim kodom BAP.</w:t>
      </w:r>
    </w:p>
    <w:p w:rsidR="00781C93" w:rsidRDefault="00D13FCF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/>
          <w:kern w:val="3"/>
          <w:sz w:val="24"/>
          <w:szCs w:val="24"/>
          <w:lang w:val="bs-Latn-BA" w:eastAsia="hr-BA"/>
        </w:rPr>
      </w:pPr>
      <w:r>
        <w:rPr>
          <w:rFonts w:ascii="Times New Roman" w:eastAsia="Times New Roman" w:hAnsi="Times New Roman"/>
          <w:kern w:val="3"/>
          <w:sz w:val="24"/>
          <w:szCs w:val="24"/>
          <w:lang w:val="bs-Latn-BA" w:eastAsia="hr-BA"/>
        </w:rPr>
        <w:t>(4) Uporaba MX formata poruka i korištenje poruka plaćanja: pacs.008 i pacs.009 započet će po završetku tehničke i operativne pripreme svi</w:t>
      </w:r>
      <w:r>
        <w:rPr>
          <w:rFonts w:ascii="Times New Roman" w:eastAsia="Times New Roman" w:hAnsi="Times New Roman"/>
          <w:kern w:val="3"/>
          <w:sz w:val="24"/>
          <w:szCs w:val="24"/>
          <w:lang w:val="bs-Latn-BA" w:eastAsia="hr-BA"/>
        </w:rPr>
        <w:t>h sudionika i usklađivanja sa standardom ISO 20022. Guverner Centralne banke odredit će točan datum prelaska na uporabu MX formata poruka i o tome obavijestiti sve sudionike pismenim putem najmanje 15 dana prije istog.“.</w:t>
      </w:r>
    </w:p>
    <w:p w:rsidR="00781C93" w:rsidRDefault="00781C93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/>
          <w:kern w:val="3"/>
          <w:sz w:val="24"/>
          <w:szCs w:val="24"/>
          <w:lang w:val="bs-Latn-BA" w:eastAsia="hr-BA"/>
        </w:rPr>
      </w:pPr>
    </w:p>
    <w:p w:rsidR="00781C93" w:rsidRDefault="00D13FCF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kern w:val="3"/>
          <w:sz w:val="24"/>
          <w:szCs w:val="24"/>
          <w:lang w:val="bs-Latn-BA" w:eastAsia="hr-BA"/>
        </w:rPr>
      </w:pPr>
      <w:r>
        <w:rPr>
          <w:rFonts w:ascii="Times New Roman" w:eastAsia="Times New Roman" w:hAnsi="Times New Roman"/>
          <w:kern w:val="3"/>
          <w:sz w:val="24"/>
          <w:szCs w:val="24"/>
          <w:lang w:val="bs-Latn-BA" w:eastAsia="hr-BA"/>
        </w:rPr>
        <w:t>Članak 2.</w:t>
      </w:r>
    </w:p>
    <w:p w:rsidR="00781C93" w:rsidRDefault="00D13FCF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/>
          <w:kern w:val="3"/>
          <w:sz w:val="24"/>
          <w:szCs w:val="24"/>
          <w:lang w:val="bs-Latn-BA" w:eastAsia="hr-BA"/>
        </w:rPr>
      </w:pPr>
      <w:r>
        <w:rPr>
          <w:rFonts w:ascii="Times New Roman" w:eastAsia="Times New Roman" w:hAnsi="Times New Roman"/>
          <w:kern w:val="3"/>
          <w:sz w:val="24"/>
          <w:szCs w:val="24"/>
          <w:lang w:val="bs-Latn-BA" w:eastAsia="hr-BA"/>
        </w:rPr>
        <w:t xml:space="preserve">U članku 16. iza stavka </w:t>
      </w:r>
      <w:r>
        <w:rPr>
          <w:rFonts w:ascii="Times New Roman" w:eastAsia="Times New Roman" w:hAnsi="Times New Roman"/>
          <w:kern w:val="3"/>
          <w:sz w:val="24"/>
          <w:szCs w:val="24"/>
          <w:lang w:val="bs-Latn-BA" w:eastAsia="hr-BA"/>
        </w:rPr>
        <w:t>(4) dodaje se stavak (5) koji glasi:</w:t>
      </w:r>
    </w:p>
    <w:p w:rsidR="00781C93" w:rsidRDefault="00D13FCF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/>
          <w:kern w:val="3"/>
          <w:sz w:val="24"/>
          <w:szCs w:val="24"/>
          <w:lang w:val="bs-Latn-BA" w:eastAsia="hr-BA"/>
        </w:rPr>
      </w:pPr>
      <w:r>
        <w:rPr>
          <w:rFonts w:ascii="Times New Roman" w:eastAsia="Times New Roman" w:hAnsi="Times New Roman"/>
          <w:kern w:val="3"/>
          <w:sz w:val="24"/>
          <w:szCs w:val="24"/>
          <w:lang w:val="bs-Latn-BA" w:eastAsia="hr-BA"/>
        </w:rPr>
        <w:t>„(5) U iznimnim slučajevima, kada to zahtijevaju potrebe poslovanja, guverner Centralne banke može odrediti da jedan od dana koji su u skladu sa stavkom (2) ovog članka određeni kao neradni dani bude radni dan. Centraln</w:t>
      </w:r>
      <w:r>
        <w:rPr>
          <w:rFonts w:ascii="Times New Roman" w:eastAsia="Times New Roman" w:hAnsi="Times New Roman"/>
          <w:kern w:val="3"/>
          <w:sz w:val="24"/>
          <w:szCs w:val="24"/>
          <w:lang w:val="bs-Latn-BA" w:eastAsia="hr-BA"/>
        </w:rPr>
        <w:t>a banka će u tom slučaju obavijestiti sve sudionike pismenim putem najmanje osam dana prije dana određenog za rad.“.</w:t>
      </w:r>
    </w:p>
    <w:p w:rsidR="00781C93" w:rsidRDefault="00781C93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/>
          <w:kern w:val="3"/>
          <w:sz w:val="24"/>
          <w:szCs w:val="24"/>
          <w:lang w:val="bs-Latn-BA" w:eastAsia="hr-BA"/>
        </w:rPr>
      </w:pPr>
    </w:p>
    <w:p w:rsidR="00781C93" w:rsidRDefault="00D13FCF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/>
          <w:sz w:val="24"/>
          <w:szCs w:val="24"/>
          <w:lang w:val="bs-Latn-BA"/>
        </w:rPr>
        <w:t>Članak 3.</w:t>
      </w:r>
    </w:p>
    <w:p w:rsidR="00781C93" w:rsidRDefault="00D13FCF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/>
          <w:sz w:val="24"/>
          <w:szCs w:val="24"/>
          <w:lang w:val="bs-Latn-BA"/>
        </w:rPr>
        <w:t>(1) Ova odluka stupa na snagu osmog dana od dana objavljivanja u „Službenom glasniku BiH“.</w:t>
      </w:r>
    </w:p>
    <w:p w:rsidR="00781C93" w:rsidRDefault="00D13FCF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/>
          <w:sz w:val="24"/>
          <w:szCs w:val="24"/>
          <w:lang w:val="bs-Latn-BA"/>
        </w:rPr>
        <w:t>(2) Ova odluka objavit će se i u „Slu</w:t>
      </w:r>
      <w:r>
        <w:rPr>
          <w:rFonts w:ascii="Times New Roman" w:eastAsia="Times New Roman" w:hAnsi="Times New Roman"/>
          <w:sz w:val="24"/>
          <w:szCs w:val="24"/>
          <w:lang w:val="bs-Latn-BA"/>
        </w:rPr>
        <w:t>žbenim novinama Federacije BiH“, „Službenom glasniku Republike Srpske“, i „Službenom glasniku Brčko distrikta BiH“.</w:t>
      </w:r>
    </w:p>
    <w:p w:rsidR="00781C93" w:rsidRDefault="00781C9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bs-Latn-BA"/>
        </w:rPr>
      </w:pPr>
    </w:p>
    <w:p w:rsidR="00781C93" w:rsidRDefault="00781C9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bs-Latn-BA"/>
        </w:rPr>
      </w:pPr>
    </w:p>
    <w:p w:rsidR="00781C93" w:rsidRDefault="00781C9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bs-Latn-BA"/>
        </w:rPr>
      </w:pPr>
    </w:p>
    <w:p w:rsidR="00781C93" w:rsidRDefault="00D13FCF">
      <w:pPr>
        <w:tabs>
          <w:tab w:val="center" w:pos="694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/>
          <w:sz w:val="24"/>
          <w:szCs w:val="24"/>
          <w:lang w:val="bs-Latn-BA"/>
        </w:rPr>
        <w:tab/>
      </w:r>
      <w:proofErr w:type="spellStart"/>
      <w:r>
        <w:rPr>
          <w:rFonts w:ascii="Times New Roman" w:eastAsia="Times New Roman" w:hAnsi="Times New Roman"/>
          <w:sz w:val="24"/>
          <w:szCs w:val="24"/>
          <w:lang w:val="bs-Latn-BA"/>
        </w:rPr>
        <w:t>Predsjedateljica</w:t>
      </w:r>
      <w:proofErr w:type="spellEnd"/>
    </w:p>
    <w:p w:rsidR="00781C93" w:rsidRDefault="00D13FCF">
      <w:pPr>
        <w:tabs>
          <w:tab w:val="center" w:pos="694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/>
          <w:sz w:val="24"/>
          <w:szCs w:val="24"/>
          <w:lang w:val="bs-Latn-BA"/>
        </w:rPr>
        <w:t>Broj: UV-122-02-1-1903-4/25</w:t>
      </w:r>
      <w:r>
        <w:rPr>
          <w:rFonts w:ascii="Times New Roman" w:eastAsia="Times New Roman" w:hAnsi="Times New Roman"/>
          <w:sz w:val="24"/>
          <w:szCs w:val="24"/>
          <w:lang w:val="bs-Latn-BA"/>
        </w:rPr>
        <w:tab/>
        <w:t>Upravnog vijeća Centralne banke</w:t>
      </w:r>
    </w:p>
    <w:p w:rsidR="00781C93" w:rsidRDefault="00D13FCF">
      <w:pPr>
        <w:tabs>
          <w:tab w:val="center" w:pos="694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/>
          <w:sz w:val="24"/>
          <w:szCs w:val="24"/>
          <w:lang w:val="bs-Latn-BA"/>
        </w:rPr>
        <w:t>Sarajevo, 20.12.2025. godine</w:t>
      </w:r>
      <w:r>
        <w:rPr>
          <w:rFonts w:ascii="Times New Roman" w:eastAsia="Times New Roman" w:hAnsi="Times New Roman"/>
          <w:sz w:val="24"/>
          <w:szCs w:val="24"/>
          <w:lang w:val="bs-Latn-BA"/>
        </w:rPr>
        <w:tab/>
        <w:t>Bosne i Hercegovine</w:t>
      </w:r>
    </w:p>
    <w:p w:rsidR="00781C93" w:rsidRDefault="00D13FCF">
      <w:pPr>
        <w:tabs>
          <w:tab w:val="center" w:pos="694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/>
          <w:sz w:val="24"/>
          <w:szCs w:val="24"/>
          <w:lang w:val="bs-Latn-BA"/>
        </w:rPr>
        <w:tab/>
        <w:t>GUVERNERK</w:t>
      </w:r>
      <w:r>
        <w:rPr>
          <w:rFonts w:ascii="Times New Roman" w:eastAsia="Times New Roman" w:hAnsi="Times New Roman"/>
          <w:sz w:val="24"/>
          <w:szCs w:val="24"/>
          <w:lang w:val="bs-Latn-BA"/>
        </w:rPr>
        <w:t>A</w:t>
      </w:r>
    </w:p>
    <w:p w:rsidR="00781C93" w:rsidRDefault="00D13FCF">
      <w:pPr>
        <w:tabs>
          <w:tab w:val="center" w:pos="694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/>
          <w:sz w:val="24"/>
          <w:szCs w:val="24"/>
          <w:lang w:val="bs-Latn-BA"/>
        </w:rPr>
        <w:tab/>
        <w:t>dr. Jasmina Selimović</w:t>
      </w:r>
    </w:p>
    <w:p w:rsidR="00781C93" w:rsidRDefault="00781C9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bs-Latn-BA"/>
        </w:rPr>
      </w:pPr>
    </w:p>
    <w:p w:rsidR="00781C93" w:rsidRDefault="00781C9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bs-Latn-BA"/>
        </w:rPr>
      </w:pPr>
    </w:p>
    <w:sectPr w:rsidR="00781C93">
      <w:footerReference w:type="default" r:id="rId8"/>
      <w:pgSz w:w="11906" w:h="16838" w:code="9"/>
      <w:pgMar w:top="1440" w:right="1440" w:bottom="1440" w:left="1440" w:header="709" w:footer="71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13FCF" w:rsidRDefault="00D13FCF">
      <w:pPr>
        <w:spacing w:after="0" w:line="240" w:lineRule="auto"/>
      </w:pPr>
      <w:r>
        <w:separator/>
      </w:r>
    </w:p>
  </w:endnote>
  <w:endnote w:type="continuationSeparator" w:id="0">
    <w:p w:rsidR="00D13FCF" w:rsidRDefault="00D13F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1C93" w:rsidRDefault="00781C93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13FCF" w:rsidRDefault="00D13FCF">
      <w:pPr>
        <w:spacing w:after="0" w:line="240" w:lineRule="auto"/>
      </w:pPr>
      <w:r>
        <w:separator/>
      </w:r>
    </w:p>
  </w:footnote>
  <w:footnote w:type="continuationSeparator" w:id="0">
    <w:p w:rsidR="00D13FCF" w:rsidRDefault="00D13F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A4F8E"/>
    <w:multiLevelType w:val="hybridMultilevel"/>
    <w:tmpl w:val="4C7A7482"/>
    <w:lvl w:ilvl="0" w:tplc="1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1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D3268ED"/>
    <w:multiLevelType w:val="hybridMultilevel"/>
    <w:tmpl w:val="35A45F2A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AA4BFF"/>
    <w:multiLevelType w:val="hybridMultilevel"/>
    <w:tmpl w:val="2FDC7970"/>
    <w:lvl w:ilvl="0" w:tplc="1A3E2924">
      <w:start w:val="1"/>
      <w:numFmt w:val="decimal"/>
      <w:lvlText w:val="(%1)"/>
      <w:lvlJc w:val="left"/>
      <w:pPr>
        <w:ind w:left="732" w:hanging="372"/>
      </w:pPr>
      <w:rPr>
        <w:rFonts w:hint="default"/>
        <w:strike w:val="0"/>
        <w:color w:val="auto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B9635B"/>
    <w:multiLevelType w:val="hybridMultilevel"/>
    <w:tmpl w:val="4C6E7B8C"/>
    <w:lvl w:ilvl="0" w:tplc="DE08907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0A83906"/>
    <w:multiLevelType w:val="hybridMultilevel"/>
    <w:tmpl w:val="BA82B95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CC5983"/>
    <w:multiLevelType w:val="hybridMultilevel"/>
    <w:tmpl w:val="6554A1F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360304"/>
    <w:multiLevelType w:val="hybridMultilevel"/>
    <w:tmpl w:val="BDB697F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423E0E"/>
    <w:multiLevelType w:val="hybridMultilevel"/>
    <w:tmpl w:val="139835FE"/>
    <w:lvl w:ilvl="0" w:tplc="D2BE7BB4">
      <w:start w:val="1"/>
      <w:numFmt w:val="decimal"/>
      <w:lvlText w:val="(%1)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3F435C"/>
    <w:multiLevelType w:val="hybridMultilevel"/>
    <w:tmpl w:val="FB5CBA9C"/>
    <w:lvl w:ilvl="0" w:tplc="8DFA392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020506"/>
    <w:multiLevelType w:val="hybridMultilevel"/>
    <w:tmpl w:val="CB285FB0"/>
    <w:lvl w:ilvl="0" w:tplc="5B02B8B6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  <w:b w:val="0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D07EA3"/>
    <w:multiLevelType w:val="hybridMultilevel"/>
    <w:tmpl w:val="32EAB3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363A14"/>
    <w:multiLevelType w:val="hybridMultilevel"/>
    <w:tmpl w:val="92CABA12"/>
    <w:lvl w:ilvl="0" w:tplc="08225D2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954615"/>
    <w:multiLevelType w:val="hybridMultilevel"/>
    <w:tmpl w:val="AE706B4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404984"/>
    <w:multiLevelType w:val="hybridMultilevel"/>
    <w:tmpl w:val="DD4EB052"/>
    <w:lvl w:ilvl="0" w:tplc="B7D4BD0A">
      <w:start w:val="31"/>
      <w:numFmt w:val="bullet"/>
      <w:lvlText w:val="-"/>
      <w:lvlJc w:val="left"/>
      <w:pPr>
        <w:ind w:left="402" w:hanging="360"/>
      </w:pPr>
      <w:rPr>
        <w:rFonts w:ascii="Calibri" w:eastAsiaTheme="minorHAnsi" w:hAnsi="Calibri" w:cs="Calibri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1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2" w:hanging="360"/>
      </w:pPr>
      <w:rPr>
        <w:rFonts w:ascii="Wingdings" w:hAnsi="Wingdings" w:hint="default"/>
      </w:rPr>
    </w:lvl>
  </w:abstractNum>
  <w:abstractNum w:abstractNumId="14" w15:restartNumberingAfterBreak="0">
    <w:nsid w:val="2F266F3E"/>
    <w:multiLevelType w:val="hybridMultilevel"/>
    <w:tmpl w:val="3F6EB1C4"/>
    <w:lvl w:ilvl="0" w:tplc="2BE0919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9754DE"/>
    <w:multiLevelType w:val="hybridMultilevel"/>
    <w:tmpl w:val="6A5E0318"/>
    <w:lvl w:ilvl="0" w:tplc="33DE2122">
      <w:start w:val="2"/>
      <w:numFmt w:val="decimal"/>
      <w:lvlText w:val="%1."/>
      <w:lvlJc w:val="left"/>
      <w:pPr>
        <w:ind w:left="786" w:hanging="360"/>
      </w:pPr>
      <w:rPr>
        <w:rFonts w:eastAsia="Calibri" w:hint="default"/>
        <w:b/>
        <w:color w:val="auto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B86265"/>
    <w:multiLevelType w:val="hybridMultilevel"/>
    <w:tmpl w:val="81562D70"/>
    <w:lvl w:ilvl="0" w:tplc="77DA597C">
      <w:start w:val="5"/>
      <w:numFmt w:val="decimal"/>
      <w:lvlText w:val="%1."/>
      <w:lvlJc w:val="left"/>
      <w:pPr>
        <w:ind w:left="1211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AA134F1"/>
    <w:multiLevelType w:val="hybridMultilevel"/>
    <w:tmpl w:val="BF666384"/>
    <w:lvl w:ilvl="0" w:tplc="F7AC18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256CCD"/>
    <w:multiLevelType w:val="hybridMultilevel"/>
    <w:tmpl w:val="263AF830"/>
    <w:lvl w:ilvl="0" w:tplc="0DD289DC">
      <w:start w:val="3"/>
      <w:numFmt w:val="decimal"/>
      <w:lvlText w:val="%1."/>
      <w:lvlJc w:val="left"/>
      <w:pPr>
        <w:ind w:left="720" w:hanging="360"/>
      </w:pPr>
      <w:rPr>
        <w:b/>
      </w:r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141A000F">
      <w:start w:val="1"/>
      <w:numFmt w:val="decimal"/>
      <w:lvlText w:val="%4."/>
      <w:lvlJc w:val="left"/>
      <w:pPr>
        <w:ind w:left="2880" w:hanging="360"/>
      </w:pPr>
    </w:lvl>
    <w:lvl w:ilvl="4" w:tplc="141A0019">
      <w:start w:val="1"/>
      <w:numFmt w:val="lowerLetter"/>
      <w:lvlText w:val="%5."/>
      <w:lvlJc w:val="left"/>
      <w:pPr>
        <w:ind w:left="3600" w:hanging="360"/>
      </w:pPr>
    </w:lvl>
    <w:lvl w:ilvl="5" w:tplc="141A001B">
      <w:start w:val="1"/>
      <w:numFmt w:val="lowerRoman"/>
      <w:lvlText w:val="%6."/>
      <w:lvlJc w:val="right"/>
      <w:pPr>
        <w:ind w:left="4320" w:hanging="180"/>
      </w:pPr>
    </w:lvl>
    <w:lvl w:ilvl="6" w:tplc="141A000F">
      <w:start w:val="1"/>
      <w:numFmt w:val="decimal"/>
      <w:lvlText w:val="%7."/>
      <w:lvlJc w:val="left"/>
      <w:pPr>
        <w:ind w:left="5040" w:hanging="360"/>
      </w:pPr>
    </w:lvl>
    <w:lvl w:ilvl="7" w:tplc="141A0019">
      <w:start w:val="1"/>
      <w:numFmt w:val="lowerLetter"/>
      <w:lvlText w:val="%8."/>
      <w:lvlJc w:val="left"/>
      <w:pPr>
        <w:ind w:left="5760" w:hanging="360"/>
      </w:pPr>
    </w:lvl>
    <w:lvl w:ilvl="8" w:tplc="141A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2D2701"/>
    <w:multiLevelType w:val="hybridMultilevel"/>
    <w:tmpl w:val="3EBC1720"/>
    <w:lvl w:ilvl="0" w:tplc="1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BF5A59"/>
    <w:multiLevelType w:val="hybridMultilevel"/>
    <w:tmpl w:val="7A268CB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216A6C"/>
    <w:multiLevelType w:val="hybridMultilevel"/>
    <w:tmpl w:val="DEEA5EBC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816118"/>
    <w:multiLevelType w:val="hybridMultilevel"/>
    <w:tmpl w:val="3E104266"/>
    <w:lvl w:ilvl="0" w:tplc="691A79C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B350BC"/>
    <w:multiLevelType w:val="hybridMultilevel"/>
    <w:tmpl w:val="37AC5404"/>
    <w:lvl w:ilvl="0" w:tplc="03CCF838"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BA42B3"/>
    <w:multiLevelType w:val="hybridMultilevel"/>
    <w:tmpl w:val="DEB42C8E"/>
    <w:lvl w:ilvl="0" w:tplc="691A79C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4268E7"/>
    <w:multiLevelType w:val="hybridMultilevel"/>
    <w:tmpl w:val="D4E61510"/>
    <w:lvl w:ilvl="0" w:tplc="7032A358">
      <w:start w:val="2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B67973"/>
    <w:multiLevelType w:val="hybridMultilevel"/>
    <w:tmpl w:val="D9FE69EE"/>
    <w:lvl w:ilvl="0" w:tplc="FA3467B8">
      <w:start w:val="1"/>
      <w:numFmt w:val="decimal"/>
      <w:lvlText w:val="(%1)"/>
      <w:lvlJc w:val="left"/>
      <w:pPr>
        <w:ind w:left="732" w:hanging="372"/>
      </w:pPr>
      <w:rPr>
        <w:rFonts w:hint="default"/>
        <w:strike w:val="0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2B1455"/>
    <w:multiLevelType w:val="hybridMultilevel"/>
    <w:tmpl w:val="6A3A9E3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F63E89"/>
    <w:multiLevelType w:val="hybridMultilevel"/>
    <w:tmpl w:val="505440B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A80847"/>
    <w:multiLevelType w:val="hybridMultilevel"/>
    <w:tmpl w:val="318AD9AC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1047C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34638A"/>
    <w:multiLevelType w:val="hybridMultilevel"/>
    <w:tmpl w:val="C1B0001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DB4C11"/>
    <w:multiLevelType w:val="hybridMultilevel"/>
    <w:tmpl w:val="CCD0CED8"/>
    <w:lvl w:ilvl="0" w:tplc="B0DA1C30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C87372"/>
    <w:multiLevelType w:val="hybridMultilevel"/>
    <w:tmpl w:val="3D74119A"/>
    <w:lvl w:ilvl="0" w:tplc="691A79C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C5612E"/>
    <w:multiLevelType w:val="hybridMultilevel"/>
    <w:tmpl w:val="328A3C3C"/>
    <w:lvl w:ilvl="0" w:tplc="42AC34F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016B32"/>
    <w:multiLevelType w:val="hybridMultilevel"/>
    <w:tmpl w:val="CDCA7414"/>
    <w:lvl w:ilvl="0" w:tplc="C5142EA6">
      <w:start w:val="1"/>
      <w:numFmt w:val="decimal"/>
      <w:lvlText w:val="(%1)"/>
      <w:lvlJc w:val="left"/>
      <w:pPr>
        <w:ind w:left="732" w:hanging="372"/>
      </w:pPr>
      <w:rPr>
        <w:rFonts w:hint="default"/>
        <w:strike w:val="0"/>
        <w:color w:val="auto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AC53EB"/>
    <w:multiLevelType w:val="hybridMultilevel"/>
    <w:tmpl w:val="56AC8CF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15"/>
  </w:num>
  <w:num w:numId="3">
    <w:abstractNumId w:val="29"/>
  </w:num>
  <w:num w:numId="4">
    <w:abstractNumId w:val="3"/>
  </w:num>
  <w:num w:numId="5">
    <w:abstractNumId w:val="23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0"/>
  </w:num>
  <w:num w:numId="8">
    <w:abstractNumId w:val="27"/>
  </w:num>
  <w:num w:numId="9">
    <w:abstractNumId w:val="35"/>
  </w:num>
  <w:num w:numId="10">
    <w:abstractNumId w:val="5"/>
  </w:num>
  <w:num w:numId="11">
    <w:abstractNumId w:val="6"/>
  </w:num>
  <w:num w:numId="12">
    <w:abstractNumId w:val="4"/>
  </w:num>
  <w:num w:numId="13">
    <w:abstractNumId w:val="12"/>
  </w:num>
  <w:num w:numId="14">
    <w:abstractNumId w:val="0"/>
  </w:num>
  <w:num w:numId="15">
    <w:abstractNumId w:val="16"/>
  </w:num>
  <w:num w:numId="16">
    <w:abstractNumId w:val="21"/>
  </w:num>
  <w:num w:numId="17">
    <w:abstractNumId w:val="10"/>
  </w:num>
  <w:num w:numId="18">
    <w:abstractNumId w:val="33"/>
  </w:num>
  <w:num w:numId="19">
    <w:abstractNumId w:val="1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8"/>
  </w:num>
  <w:num w:numId="21">
    <w:abstractNumId w:val="24"/>
  </w:num>
  <w:num w:numId="22">
    <w:abstractNumId w:val="22"/>
  </w:num>
  <w:num w:numId="23">
    <w:abstractNumId w:val="25"/>
  </w:num>
  <w:num w:numId="24">
    <w:abstractNumId w:val="11"/>
  </w:num>
  <w:num w:numId="25">
    <w:abstractNumId w:val="19"/>
  </w:num>
  <w:num w:numId="26">
    <w:abstractNumId w:val="13"/>
  </w:num>
  <w:num w:numId="27">
    <w:abstractNumId w:val="1"/>
  </w:num>
  <w:num w:numId="28">
    <w:abstractNumId w:val="9"/>
  </w:num>
  <w:num w:numId="29">
    <w:abstractNumId w:val="7"/>
  </w:num>
  <w:num w:numId="30">
    <w:abstractNumId w:val="2"/>
  </w:num>
  <w:num w:numId="31">
    <w:abstractNumId w:val="34"/>
  </w:num>
  <w:num w:numId="32">
    <w:abstractNumId w:val="26"/>
  </w:num>
  <w:num w:numId="33">
    <w:abstractNumId w:val="14"/>
  </w:num>
  <w:num w:numId="34">
    <w:abstractNumId w:val="31"/>
  </w:num>
  <w:num w:numId="35">
    <w:abstractNumId w:val="20"/>
  </w:num>
  <w:num w:numId="36">
    <w:abstractNumId w:val="28"/>
  </w:num>
  <w:num w:numId="37">
    <w:abstractNumId w:val="17"/>
  </w:num>
  <w:num w:numId="38">
    <w:abstractNumId w:val="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1C93"/>
    <w:rsid w:val="00781C93"/>
    <w:rsid w:val="009D2BCF"/>
    <w:rsid w:val="00D13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1D12C0F-0075-4912-91E3-E6EAC6070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rFonts w:ascii="Calibri" w:eastAsia="Calibri" w:hAnsi="Calibri" w:cs="Times New Roman"/>
      <w:lang w:val="sr-Latn-BA"/>
    </w:rPr>
  </w:style>
  <w:style w:type="paragraph" w:styleId="Heading1">
    <w:name w:val="heading 1"/>
    <w:basedOn w:val="Normal"/>
    <w:next w:val="Normal"/>
    <w:link w:val="Heading1Char"/>
    <w:qFormat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sz w:val="24"/>
      <w:szCs w:val="20"/>
      <w:lang w:val="hr-HR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Pr>
      <w:rFonts w:ascii="Calibri" w:eastAsia="Calibri" w:hAnsi="Calibri" w:cs="Times New Roman"/>
      <w:lang w:val="sr-Latn-BA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Pr>
      <w:rFonts w:ascii="Calibri" w:eastAsia="Calibri" w:hAnsi="Calibri" w:cs="Times New Roman"/>
      <w:lang w:val="sr-Latn-BA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Pr>
      <w:rFonts w:ascii="Calibri" w:eastAsia="Calibri" w:hAnsi="Calibri" w:cs="Times New Roman"/>
      <w:lang w:val="sr-Latn-BA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eastAsia="Calibri" w:hAnsi="Segoe UI" w:cs="Segoe UI"/>
      <w:sz w:val="18"/>
      <w:szCs w:val="18"/>
      <w:lang w:val="sr-Latn-BA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rFonts w:ascii="Calibri" w:eastAsia="Calibri" w:hAnsi="Calibri" w:cs="Times New Roman"/>
      <w:sz w:val="20"/>
      <w:szCs w:val="20"/>
      <w:lang w:val="sr-Latn-BA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Revision">
    <w:name w:val="Revision"/>
    <w:hidden/>
    <w:uiPriority w:val="99"/>
    <w:semiHidden/>
    <w:rPr>
      <w:rFonts w:ascii="Calibri" w:eastAsia="Calibri" w:hAnsi="Calibri" w:cs="Times New Roman"/>
      <w:lang w:val="sr-Latn-BA"/>
    </w:rPr>
  </w:style>
  <w:style w:type="paragraph" w:styleId="ListParagraph">
    <w:name w:val="List Paragraph"/>
    <w:basedOn w:val="Normal"/>
    <w:uiPriority w:val="34"/>
    <w:qFormat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bs-Latn-BA"/>
    </w:rPr>
  </w:style>
  <w:style w:type="character" w:customStyle="1" w:styleId="Heading1Char">
    <w:name w:val="Heading 1 Char"/>
    <w:basedOn w:val="DefaultParagraphFont"/>
    <w:link w:val="Heading1"/>
    <w:rPr>
      <w:rFonts w:ascii="Times New Roman" w:eastAsia="Times New Roman" w:hAnsi="Times New Roman" w:cs="Times New Roman"/>
      <w:b/>
      <w:sz w:val="24"/>
      <w:szCs w:val="20"/>
      <w:lang w:val="hr-HR"/>
    </w:rPr>
  </w:style>
  <w:style w:type="paragraph" w:styleId="BodyText">
    <w:name w:val="Body Text"/>
    <w:basedOn w:val="Normal"/>
    <w:link w:val="BodyTextChar"/>
    <w:pPr>
      <w:spacing w:after="0" w:line="240" w:lineRule="auto"/>
      <w:jc w:val="both"/>
    </w:pPr>
    <w:rPr>
      <w:rFonts w:ascii="Times New Roman" w:eastAsia="Times New Roman" w:hAnsi="Times New Roman"/>
      <w:i/>
      <w:sz w:val="24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i/>
      <w:sz w:val="24"/>
      <w:szCs w:val="24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sr-Latn-BA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Pr>
      <w:rFonts w:ascii="Calibri" w:eastAsia="Calibri" w:hAnsi="Calibri" w:cs="Times New Roman"/>
      <w:lang w:val="sr-Latn-BA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bs-Latn-BA" w:eastAsia="bs-Latn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11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7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4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4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6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0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4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0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422247-5B9A-4C27-969C-838247BC5E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309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Damir Soco</dc:creator>
  <cp:lastModifiedBy>Alma Cingic</cp:lastModifiedBy>
  <cp:revision>2</cp:revision>
  <cp:lastPrinted>2024-11-21T13:23:00Z</cp:lastPrinted>
  <dcterms:created xsi:type="dcterms:W3CDTF">2026-01-30T08:10:00Z</dcterms:created>
  <dcterms:modified xsi:type="dcterms:W3CDTF">2026-01-30T08:10:00Z</dcterms:modified>
</cp:coreProperties>
</file>