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Na osnovu člana 2. stava 3. tačke h), člana 7. tačaka b) i e) i članova 39., 43. i 70., a u vezi s članom 47. Zakona o Centralnoj banci Bosne i Hercegovine („Službeni glasnik BiH“, br.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1/97, 29/02, 8/03, 13/03, 14/03, 9/05, 76/06 i 32/07), Upravno vijeće Centralne banke Bosne i Hercegovine, na 1. sjednici od 29.01.2026. godine, donosi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ODLUKU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 postupanju sa sumnjivim gotovim novcem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1.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(Predmet i cilj)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Ovom odlukom se uređuje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postupanje s gotovim novcem za koji se sumnja da je krivotvoren i uspostavljaju mjere za otkrivanje, povlačenje i analizu krivotvorenog gotovog novca.</w:t>
      </w:r>
    </w:p>
    <w:p w:rsidR="00DE2D2B" w:rsidRDefault="00882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sz w:val="24"/>
          <w:szCs w:val="24"/>
          <w:lang w:val="bs-Latn-BA" w:eastAsia="hr-HR"/>
        </w:rPr>
        <w:t>(2) Cilj odluke je zaštita integriteta gotovog novca uspostavljenjem mjera zaštite gotovog novca od kriv</w:t>
      </w:r>
      <w:r>
        <w:rPr>
          <w:rFonts w:ascii="Times New Roman" w:hAnsi="Times New Roman" w:cs="Times New Roman"/>
          <w:sz w:val="24"/>
          <w:szCs w:val="24"/>
          <w:lang w:val="bs-Latn-BA" w:eastAsia="hr-HR"/>
        </w:rPr>
        <w:t>otvorenja, odnosno mjera koje osiguravaju da gotov novac bude u opticaju isključivo u skladu s propisima koji regulišu zakonita sredstva plaćanja.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Član 2.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(Usklađenost s propisima Evropske unije)</w:t>
      </w:r>
    </w:p>
    <w:p w:rsidR="00DE2D2B" w:rsidRDefault="00882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Ovom odlukom vrši se usklađivanje s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Uredbom Vijeća (EZ) br.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1338/2001 od 28. 6. 2001. godine o utvrđivanju mjera potrebnih za zaštitu eura od krivotvorenja i Uredbom Vijeća (EZ) br. 1339/2001 od 28. 6. 2001. godine, o proširenju učinka Uredbe (EZ) br. 1338/2001 o propisivanju mjera potrebnih za zaštitu eura od kri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votvorenja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na one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države članice koje nisu prihvatile euro kao jedinstvenu valutu, kao i obavezu država nečlanica koje su potpisale sporazum o saradnji (stabilizaciji) i pridruživanju.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3.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(Pojmovi)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Pojmovi koji se koriste u ovoj odluci imaju sljedeća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značenja: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gotov novac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su novčanice i kovani novac konvertibilne marke i strane valute koji imaju status zakonskog sredstva plaćanja,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sumnjiv gotov novac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su novčanice i kovani novac čija autentičnost ne može biti jasno utvrđena ručnom obradom ili obradom p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omoću uređaja ili za koji ima dovoljno razloga za sumnju da je krivotvoren,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krivotvoreni gotov novac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 novčanice i kovani novac izražen u konvertibilnim markama i stranoj valuti koji djelomično ili u potpunosti imaju izgled novčanice ili kovanog novca kon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vertibilne marke ili stranog gotovog novca, za koji je tehničkom analizom utvrđeno da je djelomično ili u potpunosti neovlašteno izrađen ili izmijenjen. Krivotvorenim gotovim novcem smatraju se i novčanice i kovani novac koji su prestali biti zakonsko sred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stvo plaćanja i koji su djelomično ili u potpunosti neovlašteno izrađeni ili izmijenjeni,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hr-HR"/>
        </w:rPr>
        <w:t>osposobljeni zaposlenik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zaposlenik obveznika koji je prošao obuku u Centralnoj banci Bosne i Hercegovine (u daljnjem tekstu: Centralna banka) i stekao status instr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uktora za postupak provjere autentičnosti novčanica i kovanog novca ili zaposlenik obveznika koji je prošao obuku kod instruktora,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provjera autentičnosti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gotovog novca je postupak provjere gotovog novca u svrhu izdvajanja sumnjivih primjeraka,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lastRenderedPageBreak/>
        <w:t>tehnička ana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liza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je postupak utvrđivanja autentičnosti sumnjivog novca u Centralnoj banci, odnosno u slučaju potvrđenih krivotvorina postupak utvrđivanja načina izrade, imitacije obilježja i drugih tehničkih detalja,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tehnički i statistički podaci,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 podaci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prema koji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m se mogu prepoznati krivotvorene novčanice i kovani novac (tehnički opis vrste krivotvorine) i podaci o broju krivotvorenih novčanica i kovanog novca, prema njihovom porijeklu, a posebno geografskom, i</w:t>
      </w:r>
    </w:p>
    <w:p w:rsidR="00DE2D2B" w:rsidRDefault="00882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obrada gotovog novca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je postupak brojanja i provjere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autentičnosti i prikladnosti novčanica i kovanog novca, ručno i/ili putem uređaja.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4.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(Utvrđivanje autentičnosti sumnjivog gotovog novca)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Zakonito sredstvo plaćanja u Bosni i Hercegovini su samo one novčanice i kovani novac koje je izdala Central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na banka.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Ako postoji sumnja da su novčanice i kovani novac kao zakonsko sredstvo plaćanja u Bosni i Hercegovini ili strane novčanice i kovani novac krivotvoreni, sumnjiv gotov novac obavezno se dostavlja na tehničku analizu u Centralnu banku, koja utv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rđuje njegovu autentičnost. </w:t>
      </w: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Član 5. 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organa nadležnih za borbu protiv krivotvorenja sa sumnjivim gotovim novcem)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(1) Organi nadležni za borbu protiv krivotvorenja dopuštaju Centralnoj banci da pregleda gotov novac za koji se sumnja da je kriv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otvoren i Centralnoj banci bez odgađanja dostavljaju na analizu i identifikaciju potrebne uzorke svih vrsta novčanica i kovanog novca za koje se sumnja da su krivotvoreni, te tehničke i statističke podatke kojima raspolažu. 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Odredba iz stava (1) ovog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člana se primjenjuje tako da ne sprečava da se gotov novac za koji se sumnja da je krivotvoren upotrijebi ili zadrži kao dokazni materijal u krivičnom postupku.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6.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Centralne banke sa sumnjivim i krivotvorenim gotovim novcem)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Centralna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banka provodi tehničku analizu svake sumnjive novčanice i kovanog novca koju zaprimi.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(2) Rezultate tehničke analize Centralna banka obavezno dostavlja podnosiocu zahtjeva. 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(3) Ukoliko se tehničkom analizom utvrdi da se radi o krivotvorenom gotovom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novcu, Centralna banka zadržava novac i izuzima ga iz opticaja.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(4) Ukoliko se tehničkom analizom utvrdi da dostavljeni gotov novac nije krivotvoren, Centralna banka vraća novac podnosiocu zahtjeva.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(5) Sumnjiv gotov novac i krivotvoreni gotov novac se mog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 dostaviti nadležnim institucijama u inostranstvu u svrhu provjere rezultata tehničke analize, klasifikacije krivotvorina ili u druge svrhe za koje Centralna banka procijeni da su opravdane.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(6) Centralna banka pohranjuje krivotvoren gotov novac.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7.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(Baza podataka o krivotvorenom gotovom novcu)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Centralna banka vodi jedinstvenu bazu podataka o tehničkim i statističkim podacima krivotvorenog novca u Bosni i Hercegovini u svrhu razmjene podataka u borbi protiv krivotvorenja gotovog novca.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Organi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nadležni za borbu protiv krivotvorenja gotovog novca, u okviru svoje nadležnosti, imaju pravo pristupa bazi iz stava (1) ovog člana.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lastRenderedPageBreak/>
        <w:t>(3) Centralna banka može odobriti pristup bazi iz stava (1) ovog člana i drugim organima u zemlji i inostranstvu u cilju s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prečavanja krivotvorenja gotovog novca i bržeg otkrivanja krivotvorina.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(4) Pristup bazi podataka za organe iz stavova (1) i (2) ovog člana bit će omogućen kada Centralna banka osigura potrebne tehničke uslove.</w:t>
      </w:r>
    </w:p>
    <w:p w:rsidR="00DE2D2B" w:rsidRDefault="00DE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8.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Centralne banke po zahtj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evu istražnih organa)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Centralna banka po nalogu nadležnog suda ili tužilaštva ili po zahtjevu policijskih organa u Bosni i Hercegovini obavlja tehničku analizu novčanica i kovanog novca.</w:t>
      </w:r>
    </w:p>
    <w:p w:rsidR="00DE2D2B" w:rsidRDefault="008824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Rezultati tehničke analize vršene za potrebe krivičnog postup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ka se dostavljaju nadležnom organu iz stava (1) ovog člana koji je aktom zatražio tehničku analizu.</w:t>
      </w:r>
    </w:p>
    <w:p w:rsidR="00DE2D2B" w:rsidRDefault="008824D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(3) Centralna banka krivotvoreni gotov novac, za potrebe krivičnog postupka ili postupka koji mu prethodi, na pisani zahtjev, dostavlja nadležnom organu iz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stava (1) ovog člana.</w:t>
      </w:r>
    </w:p>
    <w:p w:rsidR="00DE2D2B" w:rsidRDefault="008824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(4) Centralna banka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nadležnom organu iz stava (1) ovog člana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stavlja na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raspolaganje informacije o pojavi i obilježjima krivotvorenog gotovog novca.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(5) Centralna banka uništava krivotvoreni novac u skladu s aktom nadležnog suda ili t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užilaštva.</w:t>
      </w:r>
    </w:p>
    <w:p w:rsidR="00DE2D2B" w:rsidRDefault="00DE2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 9.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obveznika sa sumnjivim gotovim novcem)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Obveznici koji su dužni postupati sa sumnjivim gotovim novcem su banke sa sjedištem u Bosni i Hercegovini, drugi pružaoci platnih usluga u obavljanju poslova platnog prometa i svi d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rugi pravni subjekti koji učestvuju u obradi novčanica i kovanog novca i njihovoj distribuciji javnosti uključujući ustanove čija se djelatnost sastoji od razmjene novčanica i kovanog novca različitih valuta, kao što su ovlaštene mjenjačnice.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Obveznici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iz stava (1) ovog člana su dužni izvršiti provjeru autentičnosti svih primjeraka primljenog gotovog novca u skladu s propisom Centralne banke o provjeri autentičnosti i prikladnosti gotovog novca.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(3) Ako pri provjeri autentičnosti primljenog gotovog novca obveznik utvrdi da je gotov novac sumnjiv, dužan ga je zadržati i bez odgađanja dostaviti u Centralnu banku na tehničku analizu, s popunjenim 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“Zahtjevom za tehničku analizu sumnjivog novca“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, koji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se nalazi u prilogu ove odluke i čini njen sastavni dio.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(4) Obveznik je dužan donosiocu sumnjivog gotovog novca izdati potvrdu o zadržavanju tog novca s naznakom datuma, količine, apoena i serijskih brojeva (za novčanice). 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(5) Ako se tehničkom analizom u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Centralnoj banci utvrdi da gotov novac iz stava (3) ovog člana nije krivotvoren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obveznik odmah, nakon zaprimanja rezultata tehničke analize i povrata gotovog novca, obavještava donosioca i vraća mu novac.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(6) Odredbe ovog člana primjenjuju se i na gotov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novac kojem je prestao status zakonskog sredstva plaćanja, ukoliko se posumnja u njegovu autentičnost.</w:t>
      </w: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 10.</w:t>
      </w:r>
    </w:p>
    <w:p w:rsidR="00DE2D2B" w:rsidRDefault="00882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(Centar u Centralnoj banci)</w:t>
      </w:r>
    </w:p>
    <w:p w:rsidR="00DE2D2B" w:rsidRDefault="008824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>S ciljem provođenja mjera za sprečavanje krivotvorenja gotovog novca i efikasnijeg otkrivanja krivotvorenog gotovog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 xml:space="preserve"> novca, te u svrhu saradnje s ovlaštenim institucijama u zemlji i inostranstvu na sprečavanju krivotvorenja i otkrivanju krivotvorenog gotovog novca, Centralna banka uspostavlja Centar za borbu protiv krivotvorenja, analizu novčanica i analizu kovanog novc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 xml:space="preserve">a. </w:t>
      </w:r>
    </w:p>
    <w:p w:rsidR="00DE2D2B" w:rsidRDefault="00DE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D2B" w:rsidRDefault="00DE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D2B" w:rsidRDefault="00DE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D2B" w:rsidRDefault="00882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 11.</w:t>
      </w:r>
    </w:p>
    <w:p w:rsidR="00DE2D2B" w:rsidRDefault="00882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>Centar za borbu protiv krivotvorenja, analizu novčanica i analizu kovanog novca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:rsidR="00DE2D2B" w:rsidRDefault="0088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Centar za borbu protiv krivotvorenja, analizu novčanica i analizu kovanog novca nadležan je da: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prima i evidentira zahtjeve sa sumnjivim gotovim novcem,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priku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plja tehničke i statističke podatke o krivotvorenom gotovom novcu, formira sistem za praćenje registrovanog krivotvorenog gotovog novca i stavlja podatke o krivotvorenom gotovom novcu na raspolaganje ovlaštenim korisnicima,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određuje tehničke i statističke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podatke o krivotvorenom gotovom novcu od kojih se sastoji sistem za praćenje registrovanog krivotvorenog gotovog novca, uključujući i detaljan sadržaj baze podataka, funkcije nužne za upravljanje sistemom, mrežu i komunikacije, kao i sigurnosne aspekte,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iprema i saopštava informacije o pojavama krivotvorenog gotovog novca i sarađuje sa nadležnim organima i tijelima u zemlji i inostranstvu,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učestvuje u pripremi i realizaciji sporazuma o saradnji u oblasti sprečavanja krivotvorenja i otkrivanja krivotvoreno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g gotovog novca sa ovlaštenim organima i tijelima u zemlji i inostranstvu,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organizuje i vrši osposobljavanje zaposlenika obveznika (osposobljeni zaposlenik) i ostalih zainteresovanih učesnika koji rukuju novčanicama i kovanim novcem, radi sprečavanja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krivotvorenja i otkrivanja krivotvorenog gotovog novca,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sarađuje s proizvođačima i dobavljačima uređaja za utvrđivanje autentičnosti novčanica i kovanog novca,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poduzima, u skladu s važećim zakonskim propisima, sve nužne mjere u cilju sprečavanja nedozvolje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ne reprodukcije novčanica i kovanog novca i povrede autorskih prava nad dizajnom novčanica i kovanog novca,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vrši tehničku analizu svih sumnjivih primjeraka novčanica i kovanog novca i o tome sačinjava izvještaje,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vrši klasifikaciju krivotvorenih novčanica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 krivotvorenog kovanog novca,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izrađuje izvještaje o pojavi krivotvorenih novčanica i krivotvorenog kovanog novca, 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pohranjuje sve primjerke registrovanih krivotvorenih novčanica i krivotvorenog kovanog novca, </w:t>
      </w:r>
    </w:p>
    <w:p w:rsidR="00DE2D2B" w:rsidRDefault="008824D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formira komplete krivotvorenih novčanica 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krivotvorenog kovanog novca za potrebe edukacije i testiranja uređaja.</w:t>
      </w:r>
    </w:p>
    <w:p w:rsidR="00DE2D2B" w:rsidRDefault="008824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Centar iz stava (1) ovog člana počet će s radom najkasnije u roku od godinu dana od dana stupanja na snagu ove odluke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 u tom periodu će se poduzeti sve neophodne aktivnosti za osig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uranje funkcionisanja centra.</w:t>
      </w:r>
    </w:p>
    <w:p w:rsidR="00DE2D2B" w:rsidRDefault="008824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Do početka rada centra iz stava (1) ovog člana, poslove i aktivnosti iz ove odluke u vezi s gotovim novcem za koji postoji sumnja da je krivotvoren obavlja organizacioni oblik nadležan za poslove trezora u Centralnoj banci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DE2D2B" w:rsidRDefault="00DE2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 12.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(Međuinstitucionalna saradnja radi zaštite gotovog novca od krivotvorenja)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Centralna banka sarađuje sa svim nadležnim institucijama na svim nivoima vlasti u Bosni i Hercegovini i sa svim nadležnim institucijama u inostranstvu u borbi protiv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krivotvorenja novčanica i kovanog novca s ciljem sprečavanja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krivotvorenja i otkrivanju krivotvorina.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U svrhu realizacije saradnje iz stava (1) ovog člana guverner Centralne banke može zaključiti sporazum o saradnji s ovlaštenim institucijama u zemlji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inostranstvu i druge sporazume o saradnji za koje smatra da su potrebni u svrhu zaštite od krivotvorenja gotovog novca.</w:t>
      </w:r>
    </w:p>
    <w:p w:rsidR="00DE2D2B" w:rsidRDefault="00DE2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Član 13.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(Provedba odluke)</w:t>
      </w:r>
    </w:p>
    <w:p w:rsidR="00DE2D2B" w:rsidRDefault="00882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sz w:val="24"/>
          <w:szCs w:val="24"/>
          <w:lang w:val="bs-Latn-BA" w:eastAsia="hr-HR"/>
        </w:rPr>
        <w:t xml:space="preserve">Ovlašćuje se guverner Centralne banke da donose propise potrebne za provedbu ove odluke. </w:t>
      </w:r>
    </w:p>
    <w:p w:rsidR="00DE2D2B" w:rsidRDefault="00DE2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 14.</w:t>
      </w:r>
    </w:p>
    <w:p w:rsidR="00DE2D2B" w:rsidRDefault="00882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(Stupanje na snagu )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(1) Ova odluka stupa na snagu osmog dana od dana objavljivanja u „Službenom glasniku BiH“.</w:t>
      </w:r>
    </w:p>
    <w:p w:rsidR="00DE2D2B" w:rsidRDefault="0088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 xml:space="preserve">(2) Ova odluka se objavljuje i u „Službenim novinama Federacije BiH“, „Službenom glasniku Republike Srpske“ i „Službenom glasniku Brčko 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distrikta BiH“.</w:t>
      </w: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DE2D2B" w:rsidRDefault="008824D1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</w:pP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ab/>
        <w:t>Predsjedavajuća</w:t>
      </w:r>
    </w:p>
    <w:p w:rsidR="00DE2D2B" w:rsidRDefault="008824D1">
      <w:pPr>
        <w:tabs>
          <w:tab w:val="center" w:pos="6804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Broj: UV-122-02-1-242-16/26</w:t>
      </w: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ab/>
        <w:t>Upravnog vijeća Centralne banke</w:t>
      </w:r>
    </w:p>
    <w:p w:rsidR="00DE2D2B" w:rsidRDefault="008824D1">
      <w:pPr>
        <w:tabs>
          <w:tab w:val="center" w:pos="6804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Sarajevo, 29.01.2026.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>Bosne i Hercegovine</w:t>
      </w:r>
    </w:p>
    <w:p w:rsidR="00DE2D2B" w:rsidRDefault="008824D1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>GUVERNERKA</w:t>
      </w:r>
    </w:p>
    <w:p w:rsidR="00DE2D2B" w:rsidRDefault="008824D1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ab/>
        <w:t>dr. Jasmina Selimović</w:t>
      </w: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DE2D2B" w:rsidRDefault="00DE2D2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  <w:sectPr w:rsidR="00DE2D2B">
          <w:footerReference w:type="default" r:id="rId8"/>
          <w:pgSz w:w="11906" w:h="16838" w:code="9"/>
          <w:pgMar w:top="1440" w:right="1440" w:bottom="1440" w:left="1440" w:header="284" w:footer="737" w:gutter="0"/>
          <w:cols w:space="720"/>
          <w:docGrid w:linePitch="326"/>
        </w:sect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1393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w:lastRenderedPageBreak/>
        <w:drawing>
          <wp:inline distT="0" distB="0" distL="0" distR="0">
            <wp:extent cx="4460126" cy="562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12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D2B" w:rsidRDefault="00DE2D2B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iCs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outlineLvl w:val="0"/>
        <w:rPr>
          <w:rFonts w:ascii="Times New Roman" w:eastAsia="Times New Roman" w:hAnsi="Times New Roman" w:cs="Times New Roman"/>
          <w:i/>
          <w:iCs/>
          <w:lang w:val="bs"/>
        </w:rPr>
      </w:pPr>
      <w:r>
        <w:rPr>
          <w:rFonts w:ascii="Times New Roman" w:eastAsia="Times New Roman" w:hAnsi="Times New Roman" w:cs="Times New Roman"/>
          <w:iCs/>
          <w:sz w:val="24"/>
          <w:lang w:val="bs"/>
        </w:rPr>
        <w:t>Broj:</w:t>
      </w:r>
      <w:r>
        <w:rPr>
          <w:rFonts w:ascii="Times New Roman" w:eastAsia="Times New Roman" w:hAnsi="Times New Roman" w:cs="Times New Roman"/>
          <w:iCs/>
          <w:spacing w:val="5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Broj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podnosioca</w:t>
      </w:r>
      <w:r>
        <w:rPr>
          <w:rFonts w:ascii="Times New Roman" w:eastAsia="Times New Roman" w:hAnsi="Times New Roman" w:cs="Times New Roman"/>
          <w:i/>
          <w:iCs/>
          <w:color w:val="BEBEBE"/>
          <w:spacing w:val="-1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spacing w:val="-2"/>
          <w:lang w:val="bs"/>
        </w:rPr>
        <w:t>zahtjeva</w:t>
      </w: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Mjesto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datum:</w:t>
      </w:r>
      <w:r>
        <w:rPr>
          <w:rFonts w:ascii="Times New Roman" w:eastAsia="Times New Roman" w:hAnsi="Times New Roman" w:cs="Times New Roman"/>
          <w:spacing w:val="60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Mjesto</w:t>
      </w:r>
      <w:r>
        <w:rPr>
          <w:rFonts w:ascii="Times New Roman" w:eastAsia="Times New Roman" w:hAnsi="Times New Roman" w:cs="Times New Roman"/>
          <w:i/>
          <w:color w:val="BEBEBE"/>
          <w:spacing w:val="-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i</w:t>
      </w:r>
      <w:r>
        <w:rPr>
          <w:rFonts w:ascii="Times New Roman" w:eastAsia="Times New Roman" w:hAnsi="Times New Roman" w:cs="Times New Roman"/>
          <w:i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 xml:space="preserve">datum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zahtjeva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ZAHTJEV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ZA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TEHNIČKU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ANALIZU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SUMNJIVOG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bs"/>
        </w:rPr>
        <w:t>NOVCA</w:t>
      </w:r>
    </w:p>
    <w:p w:rsidR="00DE2D2B" w:rsidRDefault="00DE2D2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bs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6256"/>
      </w:tblGrid>
      <w:tr w:rsidR="00DE2D2B">
        <w:trPr>
          <w:trHeight w:val="328"/>
        </w:trPr>
        <w:tc>
          <w:tcPr>
            <w:tcW w:w="3522" w:type="dxa"/>
          </w:tcPr>
          <w:p w:rsidR="00DE2D2B" w:rsidRDefault="008824D1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Podnosilac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Zahtjeva</w:t>
            </w:r>
          </w:p>
        </w:tc>
        <w:tc>
          <w:tcPr>
            <w:tcW w:w="6256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5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30"/>
        </w:trPr>
        <w:tc>
          <w:tcPr>
            <w:tcW w:w="3522" w:type="dxa"/>
          </w:tcPr>
          <w:p w:rsidR="00DE2D2B" w:rsidRDefault="008824D1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bs"/>
              </w:rPr>
              <w:t>JIB</w:t>
            </w:r>
          </w:p>
        </w:tc>
        <w:tc>
          <w:tcPr>
            <w:tcW w:w="6256" w:type="dxa"/>
          </w:tcPr>
          <w:p w:rsidR="00DE2D2B" w:rsidRDefault="008824D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28"/>
        </w:trPr>
        <w:tc>
          <w:tcPr>
            <w:tcW w:w="3522" w:type="dxa"/>
          </w:tcPr>
          <w:p w:rsidR="00DE2D2B" w:rsidRDefault="008824D1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Adresa</w:t>
            </w:r>
          </w:p>
        </w:tc>
        <w:tc>
          <w:tcPr>
            <w:tcW w:w="6256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28"/>
        </w:trPr>
        <w:tc>
          <w:tcPr>
            <w:tcW w:w="3522" w:type="dxa"/>
          </w:tcPr>
          <w:p w:rsidR="00DE2D2B" w:rsidRDefault="008824D1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prezime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kontakt-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osobe</w:t>
            </w:r>
          </w:p>
        </w:tc>
        <w:tc>
          <w:tcPr>
            <w:tcW w:w="6256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28"/>
        </w:trPr>
        <w:tc>
          <w:tcPr>
            <w:tcW w:w="3522" w:type="dxa"/>
          </w:tcPr>
          <w:p w:rsidR="00DE2D2B" w:rsidRDefault="008824D1">
            <w:pPr>
              <w:widowControl w:val="0"/>
              <w:autoSpaceDE w:val="0"/>
              <w:autoSpaceDN w:val="0"/>
              <w:spacing w:before="52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telefona</w:t>
            </w:r>
          </w:p>
        </w:tc>
        <w:tc>
          <w:tcPr>
            <w:tcW w:w="6256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30"/>
        </w:trPr>
        <w:tc>
          <w:tcPr>
            <w:tcW w:w="3522" w:type="dxa"/>
          </w:tcPr>
          <w:p w:rsidR="00DE2D2B" w:rsidRDefault="008824D1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Elektronska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adresa</w:t>
            </w:r>
          </w:p>
        </w:tc>
        <w:tc>
          <w:tcPr>
            <w:tcW w:w="6256" w:type="dxa"/>
          </w:tcPr>
          <w:p w:rsidR="00DE2D2B" w:rsidRDefault="008824D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</w:tbl>
    <w:p w:rsidR="00DE2D2B" w:rsidRDefault="00DE2D2B">
      <w:pPr>
        <w:widowControl w:val="0"/>
        <w:autoSpaceDE w:val="0"/>
        <w:autoSpaceDN w:val="0"/>
        <w:spacing w:before="233" w:after="0" w:line="240" w:lineRule="auto"/>
        <w:rPr>
          <w:rFonts w:ascii="Times New Roman" w:eastAsia="Times New Roman" w:hAnsi="Times New Roman" w:cs="Times New Roman"/>
          <w:b/>
          <w:iCs/>
          <w:sz w:val="28"/>
          <w:szCs w:val="20"/>
          <w:lang w:val="bs"/>
        </w:rPr>
      </w:pPr>
    </w:p>
    <w:p w:rsidR="00DE2D2B" w:rsidRDefault="008824D1">
      <w:pPr>
        <w:widowControl w:val="0"/>
        <w:tabs>
          <w:tab w:val="left" w:pos="2157"/>
          <w:tab w:val="left" w:pos="3698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VRSTA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NOVCA: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novčanica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5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 xml:space="preserve">kovani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novac</w:t>
      </w:r>
    </w:p>
    <w:p w:rsidR="00DE2D2B" w:rsidRDefault="008824D1">
      <w:pPr>
        <w:widowControl w:val="0"/>
        <w:tabs>
          <w:tab w:val="left" w:pos="3873"/>
          <w:tab w:val="left" w:pos="5700"/>
        </w:tabs>
        <w:autoSpaceDE w:val="0"/>
        <w:autoSpaceDN w:val="0"/>
        <w:spacing w:after="3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VRSTA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VALUTE:</w:t>
      </w:r>
      <w:r>
        <w:rPr>
          <w:rFonts w:ascii="Times New Roman" w:eastAsia="Times New Roman" w:hAnsi="Times New Roman" w:cs="Times New Roman"/>
          <w:b/>
          <w:spacing w:val="39"/>
          <w:sz w:val="24"/>
          <w:lang w:val="bs"/>
        </w:rPr>
        <w:t xml:space="preserve"> </w:t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KM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EUR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MS Gothic" w:eastAsia="Times New Roman" w:hAnsi="MS Gothic" w:cs="Times New Roman"/>
          <w:sz w:val="24"/>
          <w:lang w:val="bs"/>
        </w:rPr>
        <w:t>☐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6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naziv</w:t>
      </w:r>
      <w:r>
        <w:rPr>
          <w:rFonts w:ascii="Times New Roman" w:eastAsia="Times New Roman" w:hAnsi="Times New Roman" w:cs="Times New Roman"/>
          <w:i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valute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133"/>
        <w:gridCol w:w="1419"/>
        <w:gridCol w:w="2268"/>
        <w:gridCol w:w="2268"/>
        <w:gridCol w:w="1558"/>
      </w:tblGrid>
      <w:tr w:rsidR="00DE2D2B">
        <w:trPr>
          <w:trHeight w:val="551"/>
        </w:trPr>
        <w:tc>
          <w:tcPr>
            <w:tcW w:w="989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76" w:lineRule="exact"/>
              <w:ind w:left="199" w:right="115" w:hanging="73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REDNI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bs"/>
              </w:rPr>
              <w:t>BROJ</w:t>
            </w:r>
          </w:p>
        </w:tc>
        <w:tc>
          <w:tcPr>
            <w:tcW w:w="1133" w:type="dxa"/>
          </w:tcPr>
          <w:p w:rsidR="00DE2D2B" w:rsidRDefault="008824D1">
            <w:pPr>
              <w:widowControl w:val="0"/>
              <w:autoSpaceDE w:val="0"/>
              <w:autoSpaceDN w:val="0"/>
              <w:spacing w:before="275" w:after="0" w:line="257" w:lineRule="exact"/>
              <w:ind w:left="163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APOEN</w:t>
            </w:r>
          </w:p>
        </w:tc>
        <w:tc>
          <w:tcPr>
            <w:tcW w:w="1419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76" w:lineRule="exact"/>
              <w:ind w:left="167" w:right="160" w:firstLine="244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bs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KOMADA</w:t>
            </w:r>
          </w:p>
        </w:tc>
        <w:tc>
          <w:tcPr>
            <w:tcW w:w="2268" w:type="dxa"/>
          </w:tcPr>
          <w:p w:rsidR="00DE2D2B" w:rsidRDefault="008824D1">
            <w:pPr>
              <w:widowControl w:val="0"/>
              <w:autoSpaceDE w:val="0"/>
              <w:autoSpaceDN w:val="0"/>
              <w:spacing w:before="275" w:after="0" w:line="257" w:lineRule="exact"/>
              <w:ind w:left="218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SERIJSKI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bs"/>
              </w:rPr>
              <w:t>1</w:t>
            </w:r>
          </w:p>
        </w:tc>
        <w:tc>
          <w:tcPr>
            <w:tcW w:w="2268" w:type="dxa"/>
          </w:tcPr>
          <w:p w:rsidR="00DE2D2B" w:rsidRDefault="008824D1">
            <w:pPr>
              <w:widowControl w:val="0"/>
              <w:autoSpaceDE w:val="0"/>
              <w:autoSpaceDN w:val="0"/>
              <w:spacing w:before="275" w:after="0" w:line="257" w:lineRule="exact"/>
              <w:ind w:left="218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SERIJSKI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bs"/>
              </w:rPr>
              <w:t>2</w:t>
            </w:r>
          </w:p>
        </w:tc>
        <w:tc>
          <w:tcPr>
            <w:tcW w:w="1558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76" w:lineRule="exact"/>
              <w:ind w:left="271" w:right="262" w:firstLine="33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GODINA IZDANJA</w:t>
            </w:r>
          </w:p>
        </w:tc>
      </w:tr>
      <w:tr w:rsidR="00DE2D2B">
        <w:trPr>
          <w:trHeight w:val="328"/>
        </w:trPr>
        <w:tc>
          <w:tcPr>
            <w:tcW w:w="98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  <w:tr w:rsidR="00DE2D2B">
        <w:trPr>
          <w:trHeight w:val="328"/>
        </w:trPr>
        <w:tc>
          <w:tcPr>
            <w:tcW w:w="98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  <w:tr w:rsidR="00DE2D2B">
        <w:trPr>
          <w:trHeight w:val="328"/>
        </w:trPr>
        <w:tc>
          <w:tcPr>
            <w:tcW w:w="98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  <w:tr w:rsidR="00DE2D2B">
        <w:trPr>
          <w:trHeight w:val="330"/>
        </w:trPr>
        <w:tc>
          <w:tcPr>
            <w:tcW w:w="98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DE2D2B" w:rsidRDefault="00DE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</w:tbl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3"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Specifikacija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sumnjivog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novca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dostavljena</w:t>
      </w:r>
      <w:r>
        <w:rPr>
          <w:rFonts w:ascii="Times New Roman" w:eastAsia="Times New Roman" w:hAnsi="Times New Roman" w:cs="Times New Roman"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Prilogu</w:t>
      </w:r>
      <w:r>
        <w:rPr>
          <w:rFonts w:ascii="Times New Roman" w:eastAsia="Times New Roman" w:hAnsi="Times New Roman" w:cs="Times New Roman"/>
          <w:spacing w:val="-2"/>
          <w:sz w:val="24"/>
          <w:vertAlign w:val="superscript"/>
          <w:lang w:val="bs"/>
        </w:rPr>
        <w:t>1</w:t>
      </w:r>
    </w:p>
    <w:p w:rsidR="00DE2D2B" w:rsidRDefault="008824D1">
      <w:pPr>
        <w:widowControl w:val="0"/>
        <w:autoSpaceDE w:val="0"/>
        <w:autoSpaceDN w:val="0"/>
        <w:spacing w:before="274" w:after="0" w:line="240" w:lineRule="auto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NAČIN</w:t>
      </w:r>
      <w:r>
        <w:rPr>
          <w:rFonts w:ascii="Times New Roman" w:eastAsia="Times New Roman" w:hAnsi="Times New Roman" w:cs="Times New Roman"/>
          <w:b/>
          <w:spacing w:val="-5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OTKRIVANJA:</w:t>
      </w:r>
    </w:p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2"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sortiranje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Centralnoj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banci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BiH</w:t>
      </w:r>
    </w:p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unutar</w:t>
      </w:r>
      <w:r>
        <w:rPr>
          <w:rFonts w:ascii="Times New Roman" w:eastAsia="Times New Roman" w:hAnsi="Times New Roman" w:cs="Times New Roman"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finansijske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institucije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Back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office</w:t>
      </w:r>
    </w:p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pri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ulasku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finansijsku instituciju -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šalteru</w:t>
      </w:r>
    </w:p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javnost/trgovina</w:t>
      </w:r>
    </w:p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policijska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zapljena</w:t>
      </w:r>
    </w:p>
    <w:p w:rsidR="00DE2D2B" w:rsidRDefault="008824D1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ostalo:</w:t>
      </w:r>
      <w:r>
        <w:rPr>
          <w:rFonts w:ascii="Times New Roman" w:eastAsia="Times New Roman" w:hAnsi="Times New Roman" w:cs="Times New Roman"/>
          <w:spacing w:val="56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1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podatke</w:t>
      </w:r>
    </w:p>
    <w:p w:rsidR="00DE2D2B" w:rsidRDefault="00DE2D2B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DATUM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OTKRIVANJA:</w:t>
      </w:r>
      <w:r>
        <w:rPr>
          <w:rFonts w:ascii="Times New Roman" w:eastAsia="Times New Roman" w:hAnsi="Times New Roman" w:cs="Times New Roman"/>
          <w:b/>
          <w:spacing w:val="5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4"/>
          <w:lang w:val="bs"/>
        </w:rPr>
        <w:t>datum</w:t>
      </w: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MJESTO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OTKRIVANJA</w:t>
      </w:r>
      <w:r>
        <w:rPr>
          <w:rFonts w:ascii="Times New Roman" w:eastAsia="Times New Roman" w:hAnsi="Times New Roman" w:cs="Times New Roman"/>
          <w:sz w:val="24"/>
          <w:lang w:val="bs"/>
        </w:rPr>
        <w:t>:</w:t>
      </w:r>
      <w:r>
        <w:rPr>
          <w:rFonts w:ascii="Times New Roman" w:eastAsia="Times New Roman" w:hAnsi="Times New Roman" w:cs="Times New Roman"/>
          <w:spacing w:val="55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1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mjesto</w:t>
      </w:r>
    </w:p>
    <w:p w:rsidR="00DE2D2B" w:rsidRDefault="008824D1">
      <w:pPr>
        <w:widowControl w:val="0"/>
        <w:tabs>
          <w:tab w:val="left" w:pos="5246"/>
        </w:tabs>
        <w:autoSpaceDE w:val="0"/>
        <w:autoSpaceDN w:val="0"/>
        <w:spacing w:before="1"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NOVAC</w:t>
      </w:r>
      <w:r>
        <w:rPr>
          <w:rFonts w:ascii="Times New Roman" w:eastAsia="Times New Roman" w:hAnsi="Times New Roman" w:cs="Times New Roman"/>
          <w:b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OTKRIVEN U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OPTICAJU:</w:t>
      </w:r>
      <w:r>
        <w:rPr>
          <w:rFonts w:ascii="Times New Roman" w:eastAsia="Times New Roman" w:hAnsi="Times New Roman" w:cs="Times New Roman"/>
          <w:b/>
          <w:spacing w:val="40"/>
          <w:sz w:val="24"/>
          <w:lang w:val="bs"/>
        </w:rPr>
        <w:t xml:space="preserve"> </w:t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DA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9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NE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264184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3.9pt;margin-top:20.8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E2D2B" w:rsidRDefault="008824D1">
      <w:pPr>
        <w:widowControl w:val="0"/>
        <w:autoSpaceDE w:val="0"/>
        <w:autoSpaceDN w:val="0"/>
        <w:spacing w:before="103" w:after="0" w:line="240" w:lineRule="auto"/>
        <w:ind w:left="85" w:right="495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color w:val="808080"/>
          <w:sz w:val="20"/>
          <w:szCs w:val="20"/>
          <w:vertAlign w:val="superscript"/>
          <w:lang w:val="bs"/>
        </w:rPr>
        <w:t>1</w:t>
      </w:r>
      <w:r>
        <w:rPr>
          <w:rFonts w:ascii="Times New Roman" w:eastAsia="Times New Roman" w:hAnsi="Times New Roman" w:cs="Times New Roman"/>
          <w:iCs/>
          <w:color w:val="808080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Polje se označava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 slučaju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većeg broja novčanica/kovanica, te se njihova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specifikacija dostavlja kao prilog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ovom Zahtjevu.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Prilog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mora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sadržavati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tabelu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istog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formata,</w:t>
      </w:r>
      <w:r>
        <w:rPr>
          <w:rFonts w:ascii="Times New Roman" w:eastAsia="Times New Roman" w:hAnsi="Times New Roman" w:cs="Times New Roman"/>
          <w:i/>
          <w:iCs/>
          <w:color w:val="808080"/>
          <w:spacing w:val="-5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njegovom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 xml:space="preserve">zaglavlju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treba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navesti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isti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broj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kao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 xml:space="preserve">zaglavlju 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>Zahtjeva.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bs"/>
        </w:rPr>
        <w:sectPr w:rsidR="00DE2D2B">
          <w:pgSz w:w="11910" w:h="16840"/>
          <w:pgMar w:top="620" w:right="992" w:bottom="280" w:left="992" w:header="720" w:footer="720" w:gutter="0"/>
          <w:cols w:space="720"/>
        </w:sectPr>
      </w:pPr>
    </w:p>
    <w:p w:rsidR="00DE2D2B" w:rsidRDefault="008824D1">
      <w:pPr>
        <w:widowControl w:val="0"/>
        <w:autoSpaceDE w:val="0"/>
        <w:autoSpaceDN w:val="0"/>
        <w:spacing w:before="60" w:after="0" w:line="240" w:lineRule="auto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lastRenderedPageBreak/>
        <w:t>PODACI</w:t>
      </w:r>
      <w:r>
        <w:rPr>
          <w:rFonts w:ascii="Times New Roman" w:eastAsia="Times New Roman" w:hAnsi="Times New Roman" w:cs="Times New Roman"/>
          <w:b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OSOBI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OD</w:t>
      </w:r>
      <w:r>
        <w:rPr>
          <w:rFonts w:ascii="Times New Roman" w:eastAsia="Times New Roman" w:hAnsi="Times New Roman" w:cs="Times New Roman"/>
          <w:b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KOJE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JE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ODUZET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SUMNJIV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NOVAC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5669"/>
      </w:tblGrid>
      <w:tr w:rsidR="00DE2D2B">
        <w:trPr>
          <w:trHeight w:val="328"/>
        </w:trPr>
        <w:tc>
          <w:tcPr>
            <w:tcW w:w="4107" w:type="dxa"/>
          </w:tcPr>
          <w:p w:rsidR="00DE2D2B" w:rsidRDefault="008824D1">
            <w:pPr>
              <w:widowControl w:val="0"/>
              <w:autoSpaceDE w:val="0"/>
              <w:autoSpaceDN w:val="0"/>
              <w:spacing w:before="52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prezime/naziv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pravnog lica</w:t>
            </w:r>
          </w:p>
        </w:tc>
        <w:tc>
          <w:tcPr>
            <w:tcW w:w="5669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2" w:lineRule="exact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5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28"/>
        </w:trPr>
        <w:tc>
          <w:tcPr>
            <w:tcW w:w="4107" w:type="dxa"/>
          </w:tcPr>
          <w:p w:rsidR="00DE2D2B" w:rsidRDefault="008824D1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Adresa/sjedište</w:t>
            </w:r>
          </w:p>
        </w:tc>
        <w:tc>
          <w:tcPr>
            <w:tcW w:w="5669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30"/>
        </w:trPr>
        <w:tc>
          <w:tcPr>
            <w:tcW w:w="4107" w:type="dxa"/>
          </w:tcPr>
          <w:p w:rsidR="00DE2D2B" w:rsidRDefault="008824D1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JMB/JIB</w:t>
            </w:r>
          </w:p>
        </w:tc>
        <w:tc>
          <w:tcPr>
            <w:tcW w:w="5669" w:type="dxa"/>
          </w:tcPr>
          <w:p w:rsidR="00DE2D2B" w:rsidRDefault="008824D1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DE2D2B">
        <w:trPr>
          <w:trHeight w:val="328"/>
        </w:trPr>
        <w:tc>
          <w:tcPr>
            <w:tcW w:w="4107" w:type="dxa"/>
          </w:tcPr>
          <w:p w:rsidR="00DE2D2B" w:rsidRDefault="008824D1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telefona</w:t>
            </w:r>
          </w:p>
        </w:tc>
        <w:tc>
          <w:tcPr>
            <w:tcW w:w="5669" w:type="dxa"/>
          </w:tcPr>
          <w:p w:rsidR="00DE2D2B" w:rsidRDefault="008824D1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</w:tbl>
    <w:p w:rsidR="00DE2D2B" w:rsidRDefault="00DE2D2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DETALJI</w:t>
      </w:r>
      <w:r>
        <w:rPr>
          <w:rFonts w:ascii="Times New Roman" w:eastAsia="Times New Roman" w:hAnsi="Times New Roman" w:cs="Times New Roman"/>
          <w:b/>
          <w:spacing w:val="56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OTKRIVANJA</w:t>
      </w:r>
      <w:r>
        <w:rPr>
          <w:rFonts w:ascii="Times New Roman" w:eastAsia="Times New Roman" w:hAnsi="Times New Roman" w:cs="Times New Roman"/>
          <w:b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SUMNJIVOG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lang w:val="bs"/>
        </w:rPr>
        <w:t>NOVCA</w:t>
      </w:r>
    </w:p>
    <w:p w:rsidR="00DE2D2B" w:rsidRDefault="008824D1">
      <w:pPr>
        <w:widowControl w:val="0"/>
        <w:autoSpaceDE w:val="0"/>
        <w:autoSpaceDN w:val="0"/>
        <w:spacing w:after="0" w:line="240" w:lineRule="auto"/>
        <w:ind w:left="85" w:right="-15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09030" cy="489584"/>
                <wp:effectExtent l="9525" t="0" r="1270" b="57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48958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2D2B" w:rsidRDefault="008824D1">
                            <w:pPr>
                              <w:ind w:left="103" w:right="11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BEBEBE"/>
                              </w:rPr>
                              <w:t>Unesite sve poznate podatke vezane za otkrivanje sumnjivog novca (polog poslovne jedinice, drugog pravnog lica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ili klijenta,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uplatni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uređaj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BEBEB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dr.).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Kopije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dokumenata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koji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sadrže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relevantne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podatke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mogu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 xml:space="preserve">dostaviti u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prilogu.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8.9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" filled="f" strokeweight=".16931mm">
                <v:path arrowok="t"/>
                <v:textbox inset="0,0,0,0">
                  <w:txbxContent>
                    <w:p>
                      <w:pPr>
                        <w:ind w:left="103" w:right="119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color w:val="BEBEBE"/>
                        </w:rPr>
                        <w:t>Unesite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sve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poznate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podatke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vezane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za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otkrivanje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sumnjivog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novca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polog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poslovne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jedinice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drugog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pravnog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lica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  <w:color w:val="BEBEBE"/>
                        </w:rPr>
                        <w:t>ili</w:t>
                      </w:r>
                      <w:proofErr w:type="spellEnd"/>
                      <w:proofErr w:type="gram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klijenta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>,</w:t>
                      </w:r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uplatni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uređaj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i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</w:rPr>
                        <w:t>dr.).</w:t>
                      </w:r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Kopije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dokumenata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koji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sadrže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</w:rPr>
                        <w:t>relevantne</w:t>
                      </w:r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podatke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mogu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</w:rPr>
                        <w:t>se</w:t>
                      </w:r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dostaviti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u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prilogu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2D2B" w:rsidRDefault="008824D1">
      <w:pPr>
        <w:widowControl w:val="0"/>
        <w:autoSpaceDE w:val="0"/>
        <w:autoSpaceDN w:val="0"/>
        <w:spacing w:before="235" w:after="0" w:line="276" w:lineRule="exact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PRILOZI:</w:t>
      </w:r>
    </w:p>
    <w:p w:rsidR="00DE2D2B" w:rsidRDefault="008824D1">
      <w:pPr>
        <w:widowControl w:val="0"/>
        <w:autoSpaceDE w:val="0"/>
        <w:autoSpaceDN w:val="0"/>
        <w:spacing w:after="0" w:line="253" w:lineRule="exact"/>
        <w:ind w:left="1046"/>
        <w:outlineLvl w:val="0"/>
        <w:rPr>
          <w:rFonts w:ascii="Times New Roman" w:eastAsia="Times New Roman" w:hAnsi="Times New Roman" w:cs="Times New Roman"/>
          <w:i/>
          <w:iCs/>
          <w:lang w:val="bs"/>
        </w:rPr>
      </w:pP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Navesti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sve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što</w:t>
      </w:r>
      <w:r>
        <w:rPr>
          <w:rFonts w:ascii="Times New Roman" w:eastAsia="Times New Roman" w:hAnsi="Times New Roman" w:cs="Times New Roman"/>
          <w:i/>
          <w:iCs/>
          <w:color w:val="BEBEBE"/>
          <w:spacing w:val="-6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je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dostavljeno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prilogu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spacing w:val="-2"/>
          <w:lang w:val="bs"/>
        </w:rPr>
        <w:t>Zahtjeva</w:t>
      </w:r>
    </w:p>
    <w:p w:rsidR="00DE2D2B" w:rsidRDefault="00DE2D2B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76" w:lineRule="exact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NAPOMENA:</w:t>
      </w:r>
      <w:r>
        <w:rPr>
          <w:rFonts w:ascii="Times New Roman" w:eastAsia="Times New Roman" w:hAnsi="Times New Roman" w:cs="Times New Roman"/>
          <w:b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 xml:space="preserve"> napomenu</w:t>
      </w:r>
    </w:p>
    <w:p w:rsidR="00DE2D2B" w:rsidRDefault="008824D1">
      <w:pPr>
        <w:widowControl w:val="0"/>
        <w:autoSpaceDE w:val="0"/>
        <w:autoSpaceDN w:val="0"/>
        <w:spacing w:after="0" w:line="253" w:lineRule="exact"/>
        <w:ind w:right="1329"/>
        <w:jc w:val="right"/>
        <w:rPr>
          <w:rFonts w:ascii="Times New Roman" w:eastAsia="Times New Roman" w:hAnsi="Times New Roman" w:cs="Times New Roman"/>
          <w:lang w:val="bs"/>
        </w:rPr>
      </w:pPr>
      <w:r>
        <w:rPr>
          <w:rFonts w:ascii="Times New Roman" w:eastAsia="Times New Roman" w:hAnsi="Times New Roman" w:cs="Times New Roman"/>
          <w:lang w:val="bs"/>
        </w:rPr>
        <w:t>Podnosilac</w:t>
      </w:r>
      <w:r>
        <w:rPr>
          <w:rFonts w:ascii="Times New Roman" w:eastAsia="Times New Roman" w:hAnsi="Times New Roman" w:cs="Times New Roman"/>
          <w:spacing w:val="-5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bs"/>
        </w:rPr>
        <w:t>Zahtjeva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4795392</wp:posOffset>
                </wp:positionH>
                <wp:positionV relativeFrom="paragraph">
                  <wp:posOffset>182828</wp:posOffset>
                </wp:positionV>
                <wp:extent cx="12915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1590">
                              <a:moveTo>
                                <a:pt x="0" y="0"/>
                              </a:moveTo>
                              <a:lnTo>
                                <a:pt x="129128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77.6pt;margin-top:14.4pt;width:101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" path="m,l1291285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665987</wp:posOffset>
                </wp:positionH>
                <wp:positionV relativeFrom="paragraph">
                  <wp:posOffset>378548</wp:posOffset>
                </wp:positionV>
                <wp:extent cx="62299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2.45pt;margin-top:29.8pt;width:490.5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665987</wp:posOffset>
                </wp:positionH>
                <wp:positionV relativeFrom="paragraph">
                  <wp:posOffset>451700</wp:posOffset>
                </wp:positionV>
                <wp:extent cx="622998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2.45pt;margin-top:35.55pt;width:490.55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E2D2B" w:rsidRDefault="00DE2D2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Cs/>
          <w:sz w:val="5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before="275"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Popunjava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Centralna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banka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BiH</w:t>
      </w:r>
    </w:p>
    <w:p w:rsidR="00DE2D2B" w:rsidRDefault="00DE2D2B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DE2D2B" w:rsidRDefault="008824D1">
      <w:pPr>
        <w:widowControl w:val="0"/>
        <w:tabs>
          <w:tab w:val="left" w:pos="4740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 xml:space="preserve">Datum zaprimanja Zahtjeva: </w:t>
      </w:r>
      <w:r>
        <w:rPr>
          <w:rFonts w:ascii="Times New Roman" w:eastAsia="Times New Roman" w:hAnsi="Times New Roman" w:cs="Times New Roman"/>
          <w:sz w:val="24"/>
          <w:u w:val="single"/>
          <w:lang w:val="bs"/>
        </w:rPr>
        <w:tab/>
      </w:r>
    </w:p>
    <w:p w:rsidR="00DE2D2B" w:rsidRDefault="00DE2D2B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DE2D2B" w:rsidRDefault="008824D1">
      <w:pPr>
        <w:widowControl w:val="0"/>
        <w:tabs>
          <w:tab w:val="left" w:pos="3281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 xml:space="preserve">Broj prijema: </w:t>
      </w:r>
      <w:r>
        <w:rPr>
          <w:rFonts w:ascii="Times New Roman" w:eastAsia="Times New Roman" w:hAnsi="Times New Roman" w:cs="Times New Roman"/>
          <w:sz w:val="24"/>
          <w:u w:val="single"/>
          <w:lang w:val="bs"/>
        </w:rPr>
        <w:tab/>
      </w:r>
    </w:p>
    <w:p w:rsidR="00DE2D2B" w:rsidRDefault="00DE2D2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NAPOMENA: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1886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Preuzeo: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1141780</wp:posOffset>
                </wp:positionH>
                <wp:positionV relativeFrom="paragraph">
                  <wp:posOffset>195154</wp:posOffset>
                </wp:positionV>
                <wp:extent cx="2279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015">
                              <a:moveTo>
                                <a:pt x="0" y="0"/>
                              </a:moveTo>
                              <a:lnTo>
                                <a:pt x="227871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89.9pt;margin-top:15.35pt;width:179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fVJwIAAIAEAAAOAAAAZHJzL2Uyb0RvYy54bWysVMFu2zAMvQ/YPwi6L7ZTbEmN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" path="m,l2278710,e" filled="f" strokeweight=".38442mm">
                <v:path arrowok="t"/>
                <w10:wrap type="topAndBottom" anchorx="page"/>
              </v:shape>
            </w:pict>
          </mc:Fallback>
        </mc:AlternateContent>
      </w:r>
    </w:p>
    <w:p w:rsidR="00DE2D2B" w:rsidRDefault="008824D1">
      <w:pPr>
        <w:widowControl w:val="0"/>
        <w:autoSpaceDE w:val="0"/>
        <w:autoSpaceDN w:val="0"/>
        <w:spacing w:before="21" w:after="0" w:line="240" w:lineRule="auto"/>
        <w:ind w:left="806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Službenik</w:t>
      </w:r>
      <w:r>
        <w:rPr>
          <w:rFonts w:ascii="Times New Roman" w:eastAsia="Times New Roman" w:hAnsi="Times New Roman" w:cs="Times New Roman"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Centralne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banke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BiH</w:t>
      </w: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DE2D2B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DE2D2B" w:rsidRDefault="008824D1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Zahtjev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se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podnosi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jednom</w:t>
      </w:r>
      <w:r>
        <w:rPr>
          <w:rFonts w:ascii="Times New Roman" w:eastAsia="Times New Roman" w:hAnsi="Times New Roman" w:cs="Times New Roman"/>
          <w:i/>
          <w:iCs/>
          <w:color w:val="808080"/>
          <w:spacing w:val="-5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originalnom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primjerku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koji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zadržava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Centralna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banka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BiH. Ukoliko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se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obrazac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dostavlja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 dva primjerka, drugi primjerak (kopija) ovjerava se i vraća podnosiocu kao potvrda o predaji.</w:t>
      </w:r>
    </w:p>
    <w:sectPr w:rsidR="00DE2D2B">
      <w:pgSz w:w="11910" w:h="16840"/>
      <w:pgMar w:top="1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D1" w:rsidRDefault="008824D1">
      <w:pPr>
        <w:spacing w:after="0" w:line="240" w:lineRule="auto"/>
      </w:pPr>
      <w:r>
        <w:separator/>
      </w:r>
    </w:p>
  </w:endnote>
  <w:endnote w:type="continuationSeparator" w:id="0">
    <w:p w:rsidR="008824D1" w:rsidRDefault="0088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2B" w:rsidRDefault="00DE2D2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D1" w:rsidRDefault="008824D1">
      <w:pPr>
        <w:spacing w:after="0" w:line="240" w:lineRule="auto"/>
      </w:pPr>
      <w:r>
        <w:separator/>
      </w:r>
    </w:p>
  </w:footnote>
  <w:footnote w:type="continuationSeparator" w:id="0">
    <w:p w:rsidR="008824D1" w:rsidRDefault="0088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C0"/>
    <w:multiLevelType w:val="hybridMultilevel"/>
    <w:tmpl w:val="090C8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3C7"/>
    <w:multiLevelType w:val="hybridMultilevel"/>
    <w:tmpl w:val="25A46150"/>
    <w:lvl w:ilvl="0" w:tplc="B24A534E">
      <w:start w:val="1"/>
      <w:numFmt w:val="lowerLetter"/>
      <w:lvlText w:val="%1)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29235AFD"/>
    <w:multiLevelType w:val="hybridMultilevel"/>
    <w:tmpl w:val="B4BE8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70BC8"/>
    <w:multiLevelType w:val="hybridMultilevel"/>
    <w:tmpl w:val="436A9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F1536"/>
    <w:multiLevelType w:val="hybridMultilevel"/>
    <w:tmpl w:val="C29088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F257B"/>
    <w:multiLevelType w:val="hybridMultilevel"/>
    <w:tmpl w:val="3F1E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56CF"/>
    <w:multiLevelType w:val="hybridMultilevel"/>
    <w:tmpl w:val="EB863262"/>
    <w:lvl w:ilvl="0" w:tplc="22768502">
      <w:numFmt w:val="bullet"/>
      <w:lvlText w:val="☐"/>
      <w:lvlJc w:val="left"/>
      <w:pPr>
        <w:ind w:left="354" w:hanging="27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2DC68156">
      <w:numFmt w:val="bullet"/>
      <w:lvlText w:val="•"/>
      <w:lvlJc w:val="left"/>
      <w:pPr>
        <w:ind w:left="1316" w:hanging="270"/>
      </w:pPr>
      <w:rPr>
        <w:rFonts w:hint="default"/>
        <w:lang w:val="bs" w:eastAsia="en-US" w:bidi="ar-SA"/>
      </w:rPr>
    </w:lvl>
    <w:lvl w:ilvl="2" w:tplc="27FEB594">
      <w:numFmt w:val="bullet"/>
      <w:lvlText w:val="•"/>
      <w:lvlJc w:val="left"/>
      <w:pPr>
        <w:ind w:left="2272" w:hanging="270"/>
      </w:pPr>
      <w:rPr>
        <w:rFonts w:hint="default"/>
        <w:lang w:val="bs" w:eastAsia="en-US" w:bidi="ar-SA"/>
      </w:rPr>
    </w:lvl>
    <w:lvl w:ilvl="3" w:tplc="7B6C68D8">
      <w:numFmt w:val="bullet"/>
      <w:lvlText w:val="•"/>
      <w:lvlJc w:val="left"/>
      <w:pPr>
        <w:ind w:left="3228" w:hanging="270"/>
      </w:pPr>
      <w:rPr>
        <w:rFonts w:hint="default"/>
        <w:lang w:val="bs" w:eastAsia="en-US" w:bidi="ar-SA"/>
      </w:rPr>
    </w:lvl>
    <w:lvl w:ilvl="4" w:tplc="A25ADF64">
      <w:numFmt w:val="bullet"/>
      <w:lvlText w:val="•"/>
      <w:lvlJc w:val="left"/>
      <w:pPr>
        <w:ind w:left="4184" w:hanging="270"/>
      </w:pPr>
      <w:rPr>
        <w:rFonts w:hint="default"/>
        <w:lang w:val="bs" w:eastAsia="en-US" w:bidi="ar-SA"/>
      </w:rPr>
    </w:lvl>
    <w:lvl w:ilvl="5" w:tplc="A1F482F4">
      <w:numFmt w:val="bullet"/>
      <w:lvlText w:val="•"/>
      <w:lvlJc w:val="left"/>
      <w:pPr>
        <w:ind w:left="5141" w:hanging="270"/>
      </w:pPr>
      <w:rPr>
        <w:rFonts w:hint="default"/>
        <w:lang w:val="bs" w:eastAsia="en-US" w:bidi="ar-SA"/>
      </w:rPr>
    </w:lvl>
    <w:lvl w:ilvl="6" w:tplc="6B644606">
      <w:numFmt w:val="bullet"/>
      <w:lvlText w:val="•"/>
      <w:lvlJc w:val="left"/>
      <w:pPr>
        <w:ind w:left="6097" w:hanging="270"/>
      </w:pPr>
      <w:rPr>
        <w:rFonts w:hint="default"/>
        <w:lang w:val="bs" w:eastAsia="en-US" w:bidi="ar-SA"/>
      </w:rPr>
    </w:lvl>
    <w:lvl w:ilvl="7" w:tplc="D66CA98C">
      <w:numFmt w:val="bullet"/>
      <w:lvlText w:val="•"/>
      <w:lvlJc w:val="left"/>
      <w:pPr>
        <w:ind w:left="7053" w:hanging="270"/>
      </w:pPr>
      <w:rPr>
        <w:rFonts w:hint="default"/>
        <w:lang w:val="bs" w:eastAsia="en-US" w:bidi="ar-SA"/>
      </w:rPr>
    </w:lvl>
    <w:lvl w:ilvl="8" w:tplc="DC68107A">
      <w:numFmt w:val="bullet"/>
      <w:lvlText w:val="•"/>
      <w:lvlJc w:val="left"/>
      <w:pPr>
        <w:ind w:left="8009" w:hanging="270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2B"/>
    <w:rsid w:val="00333C43"/>
    <w:rsid w:val="008824D1"/>
    <w:rsid w:val="00D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15A0-9659-4B80-96D0-15DB710A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2026-04-06T10:12:00Z</dcterms:created>
  <dcterms:modified xsi:type="dcterms:W3CDTF">2026-04-06T10:12:00Z</dcterms:modified>
</cp:coreProperties>
</file>