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Na osnovu člana 7. stav 1. tačka b) i članova 36. i 70. Zakona o Centralnoj banci Bosne i Hercegovine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(„Službeni glasnik BiH“, br. 1/97, 29/02, 8/03, 13/03, 14/03, 9/05, 76/06 i 32/07),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Upravno vijeće Centralne banke Bosne i Hercegovine, na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7. sjednici održanoj 28.07.2023. godine i 8. sjednici održanoj 29.08.2023. godine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, donosi</w:t>
      </w:r>
    </w:p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ODLUKU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o načinu obavljanja transakcija povećanja i smanjenja sredstava 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na računu rezervi u EUR  </w:t>
      </w:r>
    </w:p>
    <w:p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 1.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(Predmet odluke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Ovom odlukom uređuje se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način obavljanja transakcija povećanja i smanjenja </w:t>
      </w:r>
      <w:r>
        <w:rPr>
          <w:rFonts w:ascii="Times New Roman" w:eastAsia="Times New Roman" w:hAnsi="Times New Roman" w:cs="Times New Roman"/>
          <w:bCs/>
          <w:noProof/>
          <w:color w:val="0D0D0D"/>
          <w:sz w:val="24"/>
          <w:szCs w:val="24"/>
        </w:rPr>
        <w:t>sredsta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va na računu rezervi u EUR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koje Centralna banka Bosne i Hercegovine (u daljnjem tekstu: Centralna banka) obavlja s bankama u Bosni i Hercegovini (u daljnjem tekstu: banka) u skladu s propisom Centralne banke o utvrđivanju i održavanju obaveznih rezervi i utvrđivanju naknade na iznos rezervi.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 2.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(Povećanje i smanjenje sredstava na računu rezervi u EUR)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(1) Centralna banka vrši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>povećanja i smanjenja sredstva na računu rezervi u EUR na osnovu zahtjeva banke i to:</w:t>
      </w:r>
    </w:p>
    <w:p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zahtjeva banke za povećanje/smanjenje računa rezervi u EUR po osnovu uplata/isplata preko računa u inostranstvu (u daljnjem tekstu: zahtjev za uplatu/isplatu – račun rezervi u EUR), za iznos uplaćenih/isplaćenih sredstava u EUR valuti,</w:t>
      </w:r>
    </w:p>
    <w:p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zahtjeva banke za povećanje/smanjenje računa rezervi u EUR po osnovu prijenosa sredstava s/na račun rezervi u KM (u daljnjem tekstu: zahtjev za internu kupovinu/prodaju KM – račun rezervi EUR) za iznos protuvrijednosti sredstva u EUR valuti prenesenih s/na račun rezervi u KM,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(2) Radni dan je svaki radni dan kako je određeno propisom Centralne banke o utvrđivanju i održavanju obaveznih rezervi i utvrđivanju naknade na iznos rezervi osim za izvršavanje transakcija po računu Centralne banke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u inostranstvu i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računu rezervi banke u EUR u pogledu čega se primjenjuju i radni dani Target sistema definirani propisima Eurosistema.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 3.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(Podnošenje zahtjeva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(1) Banka podnosi zahtjev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>iz člana 2. stav (1) ove odluke</w:t>
      </w:r>
      <w:r>
        <w:rPr>
          <w:rFonts w:ascii="Times New Roman" w:eastAsia="Times New Roman" w:hAnsi="Times New Roman" w:cs="Times New Roman"/>
          <w:bCs/>
          <w:noProof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organizacionom obliku nadležnom za poslove bankarstva u glavnoj jedinici ili filijali Centralne banke kod koje se vodi račun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 xml:space="preserve">rezervi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u EUR te banke (u daljnjem tekstu: organizacioni oblik za bankarstvo).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trike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(2) Podnošenje zahtjeva iz člana 2. stav (1) ove odluke i njegovo potvrđivanje od strane organizacionog oblika za bankarstvo vrši se putem </w:t>
      </w: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  <w:t xml:space="preserve">softverske platforme elektronskog međubankarskog tržišta novca (u daljnjem tekstu: EMTN).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(3) U slučaju nemogućnosti komunikacije putem EMTN-a (pad sistema EMTN ili u izuzetnim okolnostima uz obrazloženi pisani zahtjev banke kada se ne radi o padu sistema EMTN), s organizacionim oblikom za bankarstvo, komunikacija se obavlja putem faksa ili </w:t>
      </w:r>
      <w:r>
        <w:rPr>
          <w:rFonts w:ascii="Times New Roman" w:eastAsia="Calibri" w:hAnsi="Times New Roman" w:cs="Times New Roman"/>
          <w:i/>
          <w:noProof/>
          <w:sz w:val="24"/>
          <w:szCs w:val="24"/>
        </w:rPr>
        <w:t>e-maila</w:t>
      </w:r>
      <w:r>
        <w:rPr>
          <w:rFonts w:ascii="Times New Roman" w:eastAsia="Calibri" w:hAnsi="Times New Roman" w:cs="Times New Roman"/>
          <w:noProof/>
          <w:sz w:val="24"/>
          <w:szCs w:val="24"/>
        </w:rPr>
        <w:t>. U tom slučaju, zahtjeve obavezno potpisuju ovlaštene osobe banke.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(4) Centralna banka realizira samo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uredno popunjene i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>blagovremeno dostavljene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zahtjeve banaka, podnesene i potvrđene u skladu s ovom odlukom.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Član 4.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(</w:t>
      </w:r>
      <w:r>
        <w:rPr>
          <w:rFonts w:ascii="Times New Roman" w:eastAsia="Calibri" w:hAnsi="Times New Roman" w:cs="Times New Roman"/>
          <w:noProof/>
          <w:sz w:val="24"/>
          <w:szCs w:val="24"/>
        </w:rPr>
        <w:t>Uplata sredstava na račun u inostranstvu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)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(1) Kada se povećanje sredstava na računu rezervi u EUR vrši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uplatom sredstava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na račun Centralne banke u inostranstvu, Centralna banka kreira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nalog o uplati EUR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s datumom valute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do dva radna dana od datuma prijema zahtjeva banke iz člana 2. stav (1) tačka a) ove odluke koji je dužna dostaviti organizacionom obliku za bankarstvo.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trike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(2) Ukoliko se radi o zahtjevu T+0, banka je dužna taj zahtjev dostaviti najkasnije do 14.00 sati, u suprotnom se zahtjev smatra zakašnjelim i odbijenim.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(3) Centralna banka potvrđuje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uredno popunjen i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blagovremeno dostavljen zahtjev banke, a banka najkasnije do 14.30 sati na dan uplate,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a nakon potvrde zahtjeva,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organizacionom obliku za bankarstvo dostavlja SWIFT poruku MT202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ili pacs. 009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 kao dokaz o nalogu/instrukciji za uplatu sredstava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na račun Centralne banke u inostranstvu.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(4)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Centralna banka realizira nalog o uplati EUR na račun rezervi banke u EUR na datum s kojim je potvrđena uplata banke na račun Centralne banke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u inostranstvu</w:t>
      </w:r>
      <w:r>
        <w:rPr>
          <w:rFonts w:ascii="Times New Roman" w:eastAsia="Calibri" w:hAnsi="Times New Roman" w:cs="Times New Roman"/>
          <w:noProof/>
          <w:sz w:val="24"/>
          <w:szCs w:val="24"/>
        </w:rPr>
        <w:t>. Ukoliko uplata na račun Centralne banke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u inostranstvu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ne bude realizirana do 16:00 sati istog dana, realizacija naloga o uplati EUR na račun rezervi banke u EUR će biti naredni radni dan s ugovorenim datumom valute, ukoliko sredstva budu evidentirana narednog dana na izvodu računa Centralne banke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u inostranstvu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 o čemu će banka biti blagovremeno obaviještena. Realizacija naloga o uplati s valutom naredni radni dan bit će u slučaju da sredstva budu odobrena na DB-CI (</w:t>
      </w:r>
      <w:r>
        <w:rPr>
          <w:rFonts w:ascii="Times New Roman" w:eastAsia="Calibri" w:hAnsi="Times New Roman" w:cs="Times New Roman"/>
          <w:i/>
          <w:noProof/>
          <w:sz w:val="24"/>
          <w:szCs w:val="24"/>
        </w:rPr>
        <w:t>Deutsche Bank Cash Inquiry</w:t>
      </w:r>
      <w:r>
        <w:rPr>
          <w:rFonts w:ascii="Times New Roman" w:eastAsia="Calibri" w:hAnsi="Times New Roman" w:cs="Times New Roman"/>
          <w:noProof/>
          <w:sz w:val="24"/>
          <w:szCs w:val="24"/>
        </w:rPr>
        <w:t>) ili DB-DI (</w:t>
      </w:r>
      <w:r>
        <w:rPr>
          <w:rFonts w:ascii="Times New Roman" w:eastAsia="Calibri" w:hAnsi="Times New Roman" w:cs="Times New Roman"/>
          <w:i/>
          <w:noProof/>
          <w:sz w:val="24"/>
          <w:szCs w:val="24"/>
        </w:rPr>
        <w:t>Deutsche Bank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noProof/>
          <w:sz w:val="24"/>
          <w:szCs w:val="24"/>
        </w:rPr>
        <w:t>Direct Internet</w:t>
      </w:r>
      <w:r>
        <w:rPr>
          <w:rFonts w:ascii="Times New Roman" w:eastAsia="Calibri" w:hAnsi="Times New Roman" w:cs="Times New Roman"/>
          <w:noProof/>
          <w:sz w:val="24"/>
          <w:szCs w:val="24"/>
        </w:rPr>
        <w:t>) ili na računu kod neke druge inobanke kod koje Centralna banka ima otvoren račun najkasnije do 13.00 sati narednog radnog dana, pri čemu se primjenjuje pravilo T+1, a o čemu će banka biti blagovremeno obaviještena pisanim putem.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(5) Ukoliko uplata na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račun Centralne banke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u inostranstvu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 ne bude realizirana u skladu sa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stavom (4) ovog člana, smatrat će se da je banka odustala od ugovorene transakcije, o čemu će banka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biti obaviještena pisanim putem, te će Centralna banka, u razumnom roku, izvršiti povrat sredstava u skladu s instrukcijom banke.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(6)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Realizacijom naloga o uplati odobrava se račun rezervi u EUR.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 5.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(Isplata sredstva s računa u inostranstvu)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(1) Kada se smanjenje sredstava na računu rezervi u EUR vrši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isplatom u EUR valuti na račun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banke u inostranstvu, Centralna banka kreira nalog o isplati EUR s datumom valute od dva radna dana od datuma podnošenja zahtjeva (T+2), blokira sredstva na računu rezervi banke do momenta realizacije i potvrđuje zahtjev banke iz člana 2. stav (1) tačke a) ove odluke.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(2) Banka je dužna zahtjev iz stava (1) ovog člana dostaviti organizacionom obliku za bankarstvo najkasnije do 13.30 sati.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(3) Ukoliko banka zahtjev iz stava (1) ovog člana dostavi Centralnoj banci poslije 13.30 sati, a najkasnije do 14.30 sati, može odobriti takav zahtjev.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(4) Ukoliko zahtjev iz stava (1) ovog člana bude dostavljen poslije 13.30 sati, odnosno zahtjev iz stava (3) ovog člana bude dostavljen poslije 14.30 sati, zahtjev će biti odbijen.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(5) Centralna banka, u izuzetnim slučajevima, na osnovu zahtjeva banke može odobriti i izvršiti isplatu u EUR valuti na račun banke u inostranstvu i s datumom valute od jedan radni dan (T+1) ili s datumom valute istog radnog dana (T+0), ako to mogućnosti dozvoljavaju.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(6) Banka je dužna zahtjev iz stava (5) ovog člana dostaviti Centralnoj banci najkasnije do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11.00 sati za zahtjev s valutom isti radni dan (T+0), odnosno do 13.00 sati za zahtjev s valutom jedan radni dan (T+1).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(7) Ukoliko zahtjev s valutom (T+0) bude dostavljen poslije 11.00 sati, odnosno zahtjev s valutom (T+1) poslije 13.00 sati, bit će odbijen.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  <w:lastRenderedPageBreak/>
        <w:t xml:space="preserve">(8)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Realizacijom naloga o isplati EUR zadužuje se račun rezervi u EUR.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 6.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(Prijenos sredstava s računa rezervi u KM na račun rezervi u EUR)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(1)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Kada se povećanje sredstava na računu rezervi u EUR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vrši prijenosom sredstava s računa rezervi u KM po zahtjevu banke iz člana 2. stav (1) tačka b) ove odluke, organizacioni oblik za bankarstvo kojem je podnesen zahtjev banke, kreira internu zaključnicu o kupovini KM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/>
        </w:rPr>
        <w:t>‒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 račun rezervi u EUR (u daljnjem tekstu: interna zaključnica o kupovini KM</w:t>
      </w:r>
      <w:r>
        <w:rPr>
          <w:rFonts w:ascii="Times New Roman" w:eastAsia="Calibri" w:hAnsi="Times New Roman" w:cs="Times New Roman"/>
          <w:b/>
          <w:bCs/>
          <w:noProof/>
          <w:color w:val="0D0D0D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i potvrđuje zahtjev.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(2) Interna zaljučnica o kupovini KM kreira se s datumom valute istog dana kada je i podnesen zahtjev, u slučaju da banka podnosi zahtjev do 14:00 sati. Ukoliko zahtjev bude dostavljen poslije 14:00 sati, on će biti odbijen.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(3) Kada banka podnosi zahtjev iz stava (1) ovog člana s datumom valute od jedan radni dan od datuma podnošenja zahtjeva, organizacioni oblik za bankarstvo kreira internu zaključnicu o kupovini KM s datumom naznačenim u zahtjevu banke. U ovom slučaju, banka podnosi zahtjev do 15:00 sati. Ukoliko zahtjev bude dostavljen poslije 15:00 sati, on će biti odbijen.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(4) </w:t>
      </w:r>
      <w:bookmarkStart w:id="0" w:name="_Hlk117004475"/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Kreiranjem interne zaključnice o kupovini KM iz stavova (2) i (3) ovog člana, blokiraju se sredstva na računu rezervi u KM do momenta realizacije.</w:t>
      </w:r>
    </w:p>
    <w:bookmarkEnd w:id="0"/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(5) Realizacijom interne zaključnice o kupovini KM, u svrhu prijenosa sredstava s računa rezervi u KM na račun rezervi u EUR, s istim datumom valute zadužuje se račun rezervi u KM i istovremeno odobrava račun rezervi u EUR.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(6) S obzirom na to da interna zaključnica o kupovini KM realizirana u svrhu povećanja sredstva na računu rezervi u EUR nema za posljedice promjenu stanja na računu Centralne banke u inostranstvu, nije potrebno kreirati platne naloge, odnosno SWIFT poruke MT 202.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 7.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(Prijenos sredstava s računa rezervi u EUR na račun rezervi u KM)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(1)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>Kada se smanjenje sredstava na računu rezervi u EUR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 vrši prijenosom sredstava na račun rezervi u KM po zahtjevu banke iz člana 2. stav (1) tačka b) ove odluke, organizacioni oblik za bankarstvo kojem je podnesen zahtjev banke, kreira internu zaključnicu o prodaji KM – račun rezervi u EUR (u daljnjem tekstu: interna zaključnica o prodaji KM) i potvrđuje zahtjev.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(2) Interna zaljučnica o prodaji KM kreira se s datumom valute istog dana kada je i podnesen zahtjev, u slučaju da banka podnosi zahtjev do 14:00 sati. Ukoliko zahtjev bude dostavljen poslije 14:00 sati, on će biti odbijen.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(3) Kada banka podnosi zahtjev iz stava (1) ovog člana s datumom valute od jedan radni dan od datuma podnošenja zahtjeva, organizacioni oblik za bankarstvo kreira internu zaključnicu o prodaji KM s datumom naznačenim u zahtjevu banke. U ovom slučaju banka podnosi zahtjev do 15:00 sati. Ukoliko zahtjev bude dostavljen poslije 15:00 sati, on će biti odbijen.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(4) </w:t>
      </w:r>
      <w:bookmarkStart w:id="1" w:name="_Hlk117004608"/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Kreiranjem interne zaključnice o prodaji KM iz stavova (2) i (3) ovog člana, blokiraju se sredstva na računu rezervi u EUR do momenta realizacije.</w:t>
      </w:r>
    </w:p>
    <w:bookmarkEnd w:id="1"/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(5) Realizacijom interne zaključnice o prodaji KM, u svrhu prijenosa sredstva s računa rezervi u EUR na račun rezervi u KM, s istim datumom valute zadužuje se račun rezervi u EUR i istovremeno odobrava račun rezervi u KM.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(6) S obzirom na to da interna zaključnica o prodaji KM realizirana u svrhu smanjenja sredstva na računu rezervi u EUR nema za posljedice promjenu stanja na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računu Centralne banke u inostranstvu, nije potrebno kreirati platne naloge, odnosno SWIFT poruke MT 202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 ili pacs. 009.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lastRenderedPageBreak/>
        <w:t>Član 8.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(Naknada)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(1) Centralna banka vrši obračun naknade u skladu s propisom o tarifi naknada Centralne banke, koji automatski putem EMTN-a (potvrdom zahtjeva) dostavlja banci.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(2) Naplata naknade iz stava (1) ovog člana vrši se na mjesečnom nivou zaduživanjem računa  rezervi banke u KM u korist računa Centralnog ureda Centralne banke.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 9.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(Račun Centralne banke u inostranstvu)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U slučaju nedostupnosti ili nemogućnosti obavljanja transakcija putem računa Centralne banke iz člana 4. ove odluke otvorenog kod </w:t>
      </w:r>
      <w:r>
        <w:rPr>
          <w:rFonts w:ascii="Times New Roman" w:eastAsia="Calibri" w:hAnsi="Times New Roman" w:cs="Times New Roman"/>
          <w:i/>
          <w:noProof/>
          <w:sz w:val="24"/>
          <w:szCs w:val="24"/>
        </w:rPr>
        <w:t>Deutsche Bank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 Centralna banka će bankama pisanim putem dostaviti obavještenje o drugom računu Centralne banke sa svim potrebnim instrukcijama za plaćanje, te će pratiti i provjeravati status transakcije drugim kanalom komunikacije.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Član 10.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(Stupanje na snagu i objavljivanje)</w:t>
      </w:r>
    </w:p>
    <w:p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(1) Ova odluka stupa na snagu osmog dana od dana objavljivanja u „Službenom glasniku BiH“, a primjenjuje se 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od 01.01.2024. godine.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(2) Ova odluka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objavit će se i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u „Službenim novinama Federacije BiH“, „Službenom glasniku Republike Srpske“ i „Službenom glasniku Brčko distrikta BiH“.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Predsjedavajući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ab/>
        <w:t>Upravnog vijeća Centralne banke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Broj: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UV-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122-02-1-1499-5</w:t>
      </w:r>
      <w:bookmarkStart w:id="2" w:name="_GoBack"/>
      <w:bookmarkEnd w:id="2"/>
      <w:r>
        <w:rPr>
          <w:rFonts w:ascii="Times New Roman" w:eastAsia="Calibri" w:hAnsi="Times New Roman" w:cs="Times New Roman"/>
          <w:noProof/>
          <w:sz w:val="24"/>
          <w:szCs w:val="24"/>
        </w:rPr>
        <w:t>/23</w:t>
      </w:r>
      <w:r>
        <w:rPr>
          <w:rFonts w:ascii="Times New Roman" w:eastAsia="Calibri" w:hAnsi="Times New Roman" w:cs="Times New Roman"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Bosne i Hercegovine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Sarajevo, 29.08.2023. godine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GUVERNER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dr. Senad Softić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sectPr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85407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1AE"/>
    <w:multiLevelType w:val="hybridMultilevel"/>
    <w:tmpl w:val="4BD0D0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70CC7"/>
    <w:multiLevelType w:val="hybridMultilevel"/>
    <w:tmpl w:val="C674C48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8E0081"/>
    <w:multiLevelType w:val="hybridMultilevel"/>
    <w:tmpl w:val="F102A242"/>
    <w:lvl w:ilvl="0" w:tplc="58B0C914">
      <w:start w:val="1"/>
      <w:numFmt w:val="lowerLetter"/>
      <w:lvlText w:val="%1)"/>
      <w:lvlJc w:val="left"/>
      <w:pPr>
        <w:ind w:left="719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0B294D57"/>
    <w:multiLevelType w:val="hybridMultilevel"/>
    <w:tmpl w:val="6B6A56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AE455E"/>
    <w:multiLevelType w:val="hybridMultilevel"/>
    <w:tmpl w:val="F1F4BF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7D5"/>
    <w:multiLevelType w:val="hybridMultilevel"/>
    <w:tmpl w:val="ED08D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C01B4"/>
    <w:multiLevelType w:val="hybridMultilevel"/>
    <w:tmpl w:val="A56A4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D65B3"/>
    <w:multiLevelType w:val="hybridMultilevel"/>
    <w:tmpl w:val="A01AAB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46412"/>
    <w:multiLevelType w:val="hybridMultilevel"/>
    <w:tmpl w:val="A5369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76C2B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B5A93"/>
    <w:multiLevelType w:val="hybridMultilevel"/>
    <w:tmpl w:val="16EA51F8"/>
    <w:lvl w:ilvl="0" w:tplc="7972AC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E4B81"/>
    <w:multiLevelType w:val="hybridMultilevel"/>
    <w:tmpl w:val="C982F7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64E6C"/>
    <w:multiLevelType w:val="hybridMultilevel"/>
    <w:tmpl w:val="75E655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24817"/>
    <w:multiLevelType w:val="hybridMultilevel"/>
    <w:tmpl w:val="DB445C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10FC7"/>
    <w:multiLevelType w:val="hybridMultilevel"/>
    <w:tmpl w:val="12E438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A06D7"/>
    <w:multiLevelType w:val="hybridMultilevel"/>
    <w:tmpl w:val="4C3868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8129C5"/>
    <w:multiLevelType w:val="hybridMultilevel"/>
    <w:tmpl w:val="EB6AE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52A4"/>
    <w:multiLevelType w:val="hybridMultilevel"/>
    <w:tmpl w:val="5E3699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A331A"/>
    <w:multiLevelType w:val="hybridMultilevel"/>
    <w:tmpl w:val="3DFC70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11FAB"/>
    <w:multiLevelType w:val="hybridMultilevel"/>
    <w:tmpl w:val="1D8CE7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012F3"/>
    <w:multiLevelType w:val="hybridMultilevel"/>
    <w:tmpl w:val="8D2A124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66FED"/>
    <w:multiLevelType w:val="hybridMultilevel"/>
    <w:tmpl w:val="805CF16E"/>
    <w:lvl w:ilvl="0" w:tplc="141A0017">
      <w:start w:val="1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305C4"/>
    <w:multiLevelType w:val="hybridMultilevel"/>
    <w:tmpl w:val="D728A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E777D"/>
    <w:multiLevelType w:val="hybridMultilevel"/>
    <w:tmpl w:val="91A053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26657"/>
    <w:multiLevelType w:val="hybridMultilevel"/>
    <w:tmpl w:val="D4682B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76E7C"/>
    <w:multiLevelType w:val="hybridMultilevel"/>
    <w:tmpl w:val="E84A0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D24F12"/>
    <w:multiLevelType w:val="hybridMultilevel"/>
    <w:tmpl w:val="781081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52CC8"/>
    <w:multiLevelType w:val="hybridMultilevel"/>
    <w:tmpl w:val="4AF28F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1C15B2"/>
    <w:multiLevelType w:val="hybridMultilevel"/>
    <w:tmpl w:val="135AC2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A637E0"/>
    <w:multiLevelType w:val="hybridMultilevel"/>
    <w:tmpl w:val="861452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AD3961"/>
    <w:multiLevelType w:val="hybridMultilevel"/>
    <w:tmpl w:val="4920E544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227AF1"/>
    <w:multiLevelType w:val="hybridMultilevel"/>
    <w:tmpl w:val="7578E1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A91E99"/>
    <w:multiLevelType w:val="hybridMultilevel"/>
    <w:tmpl w:val="25B4DD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E526F5"/>
    <w:multiLevelType w:val="hybridMultilevel"/>
    <w:tmpl w:val="8DE05CAC"/>
    <w:lvl w:ilvl="0" w:tplc="15023EEC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CC145E2"/>
    <w:multiLevelType w:val="hybridMultilevel"/>
    <w:tmpl w:val="46E4FB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423F2"/>
    <w:multiLevelType w:val="hybridMultilevel"/>
    <w:tmpl w:val="4642E2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503F4"/>
    <w:multiLevelType w:val="hybridMultilevel"/>
    <w:tmpl w:val="D42C4F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1146B"/>
    <w:multiLevelType w:val="hybridMultilevel"/>
    <w:tmpl w:val="EB3AA09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523DB3"/>
    <w:multiLevelType w:val="hybridMultilevel"/>
    <w:tmpl w:val="73502A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3B2E0F"/>
    <w:multiLevelType w:val="hybridMultilevel"/>
    <w:tmpl w:val="407C2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95418"/>
    <w:multiLevelType w:val="hybridMultilevel"/>
    <w:tmpl w:val="D2C68B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F7BFF"/>
    <w:multiLevelType w:val="hybridMultilevel"/>
    <w:tmpl w:val="633E9A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95F9B"/>
    <w:multiLevelType w:val="hybridMultilevel"/>
    <w:tmpl w:val="3A5C682A"/>
    <w:lvl w:ilvl="0" w:tplc="15023EE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F1E62"/>
    <w:multiLevelType w:val="hybridMultilevel"/>
    <w:tmpl w:val="7FDCC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17"/>
  </w:num>
  <w:num w:numId="4">
    <w:abstractNumId w:val="5"/>
  </w:num>
  <w:num w:numId="5">
    <w:abstractNumId w:val="39"/>
  </w:num>
  <w:num w:numId="6">
    <w:abstractNumId w:val="38"/>
  </w:num>
  <w:num w:numId="7">
    <w:abstractNumId w:val="2"/>
  </w:num>
  <w:num w:numId="8">
    <w:abstractNumId w:val="34"/>
  </w:num>
  <w:num w:numId="9">
    <w:abstractNumId w:val="35"/>
  </w:num>
  <w:num w:numId="10">
    <w:abstractNumId w:val="30"/>
  </w:num>
  <w:num w:numId="11">
    <w:abstractNumId w:val="8"/>
  </w:num>
  <w:num w:numId="12">
    <w:abstractNumId w:val="42"/>
  </w:num>
  <w:num w:numId="13">
    <w:abstractNumId w:val="27"/>
  </w:num>
  <w:num w:numId="14">
    <w:abstractNumId w:val="12"/>
  </w:num>
  <w:num w:numId="15">
    <w:abstractNumId w:val="24"/>
  </w:num>
  <w:num w:numId="16">
    <w:abstractNumId w:val="26"/>
  </w:num>
  <w:num w:numId="17">
    <w:abstractNumId w:val="0"/>
  </w:num>
  <w:num w:numId="18">
    <w:abstractNumId w:val="16"/>
  </w:num>
  <w:num w:numId="19">
    <w:abstractNumId w:val="22"/>
  </w:num>
  <w:num w:numId="20">
    <w:abstractNumId w:val="25"/>
  </w:num>
  <w:num w:numId="21">
    <w:abstractNumId w:val="15"/>
  </w:num>
  <w:num w:numId="22">
    <w:abstractNumId w:val="21"/>
  </w:num>
  <w:num w:numId="23">
    <w:abstractNumId w:val="11"/>
  </w:num>
  <w:num w:numId="24">
    <w:abstractNumId w:val="7"/>
  </w:num>
  <w:num w:numId="25">
    <w:abstractNumId w:val="20"/>
  </w:num>
  <w:num w:numId="26">
    <w:abstractNumId w:val="33"/>
  </w:num>
  <w:num w:numId="27">
    <w:abstractNumId w:val="13"/>
  </w:num>
  <w:num w:numId="28">
    <w:abstractNumId w:val="37"/>
  </w:num>
  <w:num w:numId="29">
    <w:abstractNumId w:val="28"/>
  </w:num>
  <w:num w:numId="30">
    <w:abstractNumId w:val="6"/>
  </w:num>
  <w:num w:numId="31">
    <w:abstractNumId w:val="3"/>
  </w:num>
  <w:num w:numId="32">
    <w:abstractNumId w:val="1"/>
  </w:num>
  <w:num w:numId="33">
    <w:abstractNumId w:val="10"/>
  </w:num>
  <w:num w:numId="34">
    <w:abstractNumId w:val="40"/>
  </w:num>
  <w:num w:numId="35">
    <w:abstractNumId w:val="4"/>
  </w:num>
  <w:num w:numId="36">
    <w:abstractNumId w:val="18"/>
  </w:num>
  <w:num w:numId="37">
    <w:abstractNumId w:val="23"/>
  </w:num>
  <w:num w:numId="38">
    <w:abstractNumId w:val="36"/>
  </w:num>
  <w:num w:numId="39">
    <w:abstractNumId w:val="41"/>
  </w:num>
  <w:num w:numId="40">
    <w:abstractNumId w:val="32"/>
  </w:num>
  <w:num w:numId="41">
    <w:abstractNumId w:val="31"/>
  </w:num>
  <w:num w:numId="42">
    <w:abstractNumId w:val="14"/>
  </w:num>
  <w:num w:numId="43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2D7F3-1FC7-46D7-80F8-4F2891C4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sz w:val="24"/>
      <w:szCs w:val="24"/>
      <w:lang w:val="hr-HR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rPr>
      <w:vertAlign w:val="superscript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sr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sr-Latn-BA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869EB-9B78-4360-8F26-AA562FBC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Nedjo Gutalj</dc:creator>
  <cp:lastModifiedBy>Damir Soco</cp:lastModifiedBy>
  <cp:revision>14</cp:revision>
  <cp:lastPrinted>2023-08-29T13:23:00Z</cp:lastPrinted>
  <dcterms:created xsi:type="dcterms:W3CDTF">2023-07-24T17:33:00Z</dcterms:created>
  <dcterms:modified xsi:type="dcterms:W3CDTF">2023-08-31T13:58:00Z</dcterms:modified>
</cp:coreProperties>
</file>