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bookmarkStart w:id="0" w:name="_Hlk179193098"/>
    </w:p>
    <w:p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Na osnovu članova 2. stav 3. tačke a, d, f i g, 7. tačka b), 36. i 57. Zakona o Centralnoj banci Bosne i Hercegovine </w:t>
      </w:r>
      <w:r>
        <w:rPr>
          <w:rFonts w:ascii="Times New Roman" w:eastAsia="Times New Roman" w:hAnsi="Times New Roman"/>
          <w:color w:val="000000"/>
          <w:sz w:val="24"/>
          <w:szCs w:val="24"/>
          <w:lang w:val="bs-Latn-BA"/>
        </w:rPr>
        <w:t xml:space="preserve">(“Službeni glasnik BiH“, brojevi: 1/97, 29/02, 8/03, 13/03, 14/03, 9/05, 76/06 i 32/07), Upravno vijeće Centralne banke Bosne i Hercegovine, na 2. sjednici održanoj dana </w:t>
      </w:r>
      <w:r>
        <w:rPr>
          <w:rFonts w:ascii="Times New Roman" w:hAnsi="Times New Roman"/>
          <w:sz w:val="24"/>
          <w:szCs w:val="24"/>
          <w:lang w:val="hr-HR"/>
        </w:rPr>
        <w:t>28.02</w:t>
      </w:r>
      <w:r>
        <w:rPr>
          <w:rFonts w:ascii="Times New Roman" w:eastAsia="Times New Roman" w:hAnsi="Times New Roman"/>
          <w:color w:val="000000"/>
          <w:sz w:val="24"/>
          <w:szCs w:val="24"/>
          <w:lang w:val="bs-Latn-BA"/>
        </w:rPr>
        <w:t>.2025. godine, donosi</w:t>
      </w:r>
    </w:p>
    <w:p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s-Latn-BA"/>
        </w:rPr>
      </w:pPr>
    </w:p>
    <w:p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/>
          <w:b/>
          <w:spacing w:val="40"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spacing w:val="40"/>
          <w:sz w:val="24"/>
          <w:szCs w:val="24"/>
          <w:lang w:val="bs-Latn-BA"/>
        </w:rPr>
        <w:t>ODLUKU</w:t>
      </w:r>
    </w:p>
    <w:p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sz w:val="24"/>
          <w:szCs w:val="24"/>
          <w:lang w:val="bs-Latn-BA"/>
        </w:rPr>
        <w:t>o izmjeni Odluke o utvrđivanju i održavanju</w:t>
      </w:r>
    </w:p>
    <w:p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sz w:val="24"/>
          <w:szCs w:val="24"/>
          <w:lang w:val="bs-Latn-BA"/>
        </w:rPr>
        <w:t>obaveznih rezervi i utvrđivanju naknade na iznos rezerve</w:t>
      </w:r>
    </w:p>
    <w:p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</w:p>
    <w:p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sz w:val="24"/>
          <w:szCs w:val="24"/>
          <w:lang w:val="bs-Latn-BA"/>
        </w:rPr>
        <w:t>Član 1.</w:t>
      </w:r>
    </w:p>
    <w:p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U Odluci o utvrđivanju i održavanju obaveznih rezervi i utvrđivanju naknade na iznos rezervi (“Službeni glasnik BiH“, brojevi: 70/21, 53/22, 81/22, 43/23, 61/23, 54/24 i 77/24), u članu 11a stavu (1), riječi: “do 30.06.2025. godine“ mijenjaju se i glase: “do 31.12.2025. godine“. </w:t>
      </w:r>
    </w:p>
    <w:p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Član 2.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(1) Ova odluka stupa na snagu osmog dana od dana objavljivanja u “Službenom glasniku Bosne i Hercegovine“, a primjenjivat će se od 01.04.2025. godine.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(2) Ova odluka će se objaviti i u “Službenim novinama Federacije Bosne i Hercegovine“, “Službenom glasniku Republike Srpske“ i “Službenom glasniku Brčko distrikta Bosne i Hercegovine“.</w:t>
      </w:r>
    </w:p>
    <w:p>
      <w:pPr>
        <w:pStyle w:val="NoSpacing"/>
        <w:jc w:val="both"/>
        <w:rPr>
          <w:rFonts w:ascii="Times New Roman" w:eastAsia="Times New Roman" w:hAnsi="Times New Roman"/>
          <w:bCs/>
          <w:sz w:val="24"/>
          <w:szCs w:val="24"/>
          <w:lang w:val="bs-Latn-BA"/>
        </w:rPr>
      </w:pP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bs-Latn-BA"/>
        </w:rPr>
      </w:pP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Predsjedavajuća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ab/>
        <w:t>Upravnog vijeća Centralne banke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Broj: UV-122-02-1-</w:t>
      </w:r>
      <w:bookmarkStart w:id="1" w:name="_GoBack"/>
      <w:r>
        <w:rPr>
          <w:rFonts w:ascii="Times New Roman" w:eastAsia="Times New Roman" w:hAnsi="Times New Roman"/>
          <w:sz w:val="24"/>
          <w:szCs w:val="24"/>
          <w:lang w:val="bs-Latn-BA"/>
        </w:rPr>
        <w:t>646-6</w:t>
      </w:r>
      <w:bookmarkEnd w:id="1"/>
      <w:r>
        <w:rPr>
          <w:rFonts w:ascii="Times New Roman" w:eastAsia="Times New Roman" w:hAnsi="Times New Roman"/>
          <w:sz w:val="24"/>
          <w:szCs w:val="24"/>
          <w:lang w:val="bs-Latn-BA"/>
        </w:rPr>
        <w:t>/25</w:t>
      </w:r>
      <w:r>
        <w:rPr>
          <w:rFonts w:ascii="Times New Roman" w:eastAsia="Times New Roman" w:hAnsi="Times New Roman"/>
          <w:sz w:val="24"/>
          <w:szCs w:val="24"/>
          <w:lang w:val="bs-Latn-B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Bosne i Hercegovine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Sarajevo, </w:t>
      </w:r>
      <w:r>
        <w:rPr>
          <w:rFonts w:ascii="Times New Roman" w:hAnsi="Times New Roman"/>
          <w:sz w:val="24"/>
          <w:szCs w:val="24"/>
          <w:lang w:val="hr-HR"/>
        </w:rPr>
        <w:t>28.02.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2025. godine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bs-Latn-BA"/>
        </w:rPr>
        <w:t>GUVERNERKA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</w:p>
    <w:p>
      <w:pPr>
        <w:tabs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ab/>
        <w:t xml:space="preserve">   </w:t>
      </w:r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dr. Jasmina Selimović</w:t>
      </w:r>
      <w:bookmarkEnd w:id="0"/>
    </w:p>
    <w:sectPr>
      <w:footerReference w:type="default" r:id="rId12"/>
      <w:pgSz w:w="11906" w:h="16838" w:code="9"/>
      <w:pgMar w:top="1440" w:right="1440" w:bottom="1440" w:left="1440" w:header="709" w:footer="7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17555"/>
    <w:multiLevelType w:val="multilevel"/>
    <w:tmpl w:val="016A830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B513E9"/>
    <w:multiLevelType w:val="hybridMultilevel"/>
    <w:tmpl w:val="F7CE5FD8"/>
    <w:lvl w:ilvl="0" w:tplc="FCB445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806E5"/>
    <w:multiLevelType w:val="hybridMultilevel"/>
    <w:tmpl w:val="7A743FE8"/>
    <w:lvl w:ilvl="0" w:tplc="FCB445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86D2E"/>
    <w:multiLevelType w:val="hybridMultilevel"/>
    <w:tmpl w:val="830271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E4E21"/>
    <w:multiLevelType w:val="hybridMultilevel"/>
    <w:tmpl w:val="10D41A94"/>
    <w:lvl w:ilvl="0" w:tplc="FCB445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A28E2"/>
    <w:multiLevelType w:val="multilevel"/>
    <w:tmpl w:val="356E108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7012F3"/>
    <w:multiLevelType w:val="hybridMultilevel"/>
    <w:tmpl w:val="EACE7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36946"/>
    <w:multiLevelType w:val="hybridMultilevel"/>
    <w:tmpl w:val="68D8A2B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B10D9"/>
    <w:multiLevelType w:val="hybridMultilevel"/>
    <w:tmpl w:val="1C82086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B6536"/>
    <w:multiLevelType w:val="hybridMultilevel"/>
    <w:tmpl w:val="11BA66C8"/>
    <w:lvl w:ilvl="0" w:tplc="3492189C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754DE"/>
    <w:multiLevelType w:val="hybridMultilevel"/>
    <w:tmpl w:val="A7CCEB80"/>
    <w:lvl w:ilvl="0" w:tplc="5BDA2F84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0478B"/>
    <w:multiLevelType w:val="hybridMultilevel"/>
    <w:tmpl w:val="B65C8CC6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F1879"/>
    <w:multiLevelType w:val="hybridMultilevel"/>
    <w:tmpl w:val="D30E7E22"/>
    <w:lvl w:ilvl="0" w:tplc="F6FCDF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3137D4F"/>
    <w:multiLevelType w:val="hybridMultilevel"/>
    <w:tmpl w:val="00D43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B3F5A"/>
    <w:multiLevelType w:val="multilevel"/>
    <w:tmpl w:val="5086750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F24199"/>
    <w:multiLevelType w:val="multilevel"/>
    <w:tmpl w:val="9CDC0A6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9534C7D"/>
    <w:multiLevelType w:val="multilevel"/>
    <w:tmpl w:val="4DC26F2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ED21AB7"/>
    <w:multiLevelType w:val="hybridMultilevel"/>
    <w:tmpl w:val="BEDEDEAA"/>
    <w:lvl w:ilvl="0" w:tplc="3FB430B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28632EA"/>
    <w:multiLevelType w:val="hybridMultilevel"/>
    <w:tmpl w:val="0784BF9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B1DF4"/>
    <w:multiLevelType w:val="hybridMultilevel"/>
    <w:tmpl w:val="8AC41BA4"/>
    <w:lvl w:ilvl="0" w:tplc="09BCBC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1168FA"/>
    <w:multiLevelType w:val="hybridMultilevel"/>
    <w:tmpl w:val="6C6864E4"/>
    <w:lvl w:ilvl="0" w:tplc="B5F4E41A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F476D7E"/>
    <w:multiLevelType w:val="multilevel"/>
    <w:tmpl w:val="B9CC7B4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4875C0"/>
    <w:multiLevelType w:val="hybridMultilevel"/>
    <w:tmpl w:val="5686B59E"/>
    <w:lvl w:ilvl="0" w:tplc="7F8A59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singl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E7E6D"/>
    <w:multiLevelType w:val="hybridMultilevel"/>
    <w:tmpl w:val="C0AE62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87372"/>
    <w:multiLevelType w:val="hybridMultilevel"/>
    <w:tmpl w:val="3D74119A"/>
    <w:lvl w:ilvl="0" w:tplc="691A7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10"/>
  </w:num>
  <w:num w:numId="4">
    <w:abstractNumId w:val="19"/>
  </w:num>
  <w:num w:numId="5">
    <w:abstractNumId w:val="7"/>
  </w:num>
  <w:num w:numId="6">
    <w:abstractNumId w:val="14"/>
  </w:num>
  <w:num w:numId="7">
    <w:abstractNumId w:val="5"/>
  </w:num>
  <w:num w:numId="8">
    <w:abstractNumId w:val="21"/>
  </w:num>
  <w:num w:numId="9">
    <w:abstractNumId w:val="9"/>
  </w:num>
  <w:num w:numId="10">
    <w:abstractNumId w:val="0"/>
  </w:num>
  <w:num w:numId="11">
    <w:abstractNumId w:val="15"/>
  </w:num>
  <w:num w:numId="12">
    <w:abstractNumId w:val="16"/>
  </w:num>
  <w:num w:numId="13">
    <w:abstractNumId w:val="11"/>
  </w:num>
  <w:num w:numId="14">
    <w:abstractNumId w:val="13"/>
  </w:num>
  <w:num w:numId="15">
    <w:abstractNumId w:val="1"/>
  </w:num>
  <w:num w:numId="16">
    <w:abstractNumId w:val="2"/>
  </w:num>
  <w:num w:numId="17">
    <w:abstractNumId w:val="17"/>
  </w:num>
  <w:num w:numId="18">
    <w:abstractNumId w:val="20"/>
  </w:num>
  <w:num w:numId="19">
    <w:abstractNumId w:val="12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8"/>
  </w:num>
  <w:num w:numId="26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31790F-B32D-4224-817E-27F971FB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lang w:val="sr-Latn-BA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Pr>
      <w:rFonts w:ascii="Calibri" w:eastAsia="Calibri" w:hAnsi="Calibri" w:cs="Times New Roman"/>
      <w:lang w:val="sr-Latn-B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  <w:lang w:val="sr-Latn-BA"/>
    </w:rPr>
  </w:style>
  <w:style w:type="paragraph" w:styleId="Header">
    <w:name w:val="header"/>
    <w:basedOn w:val="Normal"/>
    <w:link w:val="Header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Pr>
      <w:rFonts w:ascii="Calibri" w:eastAsia="Calibri" w:hAnsi="Calibri" w:cs="Times New Roman"/>
      <w:lang w:val="sr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val="sr-Latn-B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  <w:lang w:val="sr-Latn-BA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Revision">
    <w:name w:val="Revision"/>
    <w:hidden/>
    <w:uiPriority w:val="99"/>
    <w:semiHidden/>
    <w:rPr>
      <w:rFonts w:ascii="Calibri" w:eastAsia="Calibri" w:hAnsi="Calibri" w:cs="Times New Roman"/>
      <w:lang w:val="sr-Latn-BA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s-Latn-BA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z w:val="24"/>
      <w:szCs w:val="20"/>
      <w:lang w:val="hr-HR"/>
    </w:rPr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eastAsia="Calibri" w:hAnsi="Calibri" w:cs="Times New Roman"/>
      <w:szCs w:val="21"/>
      <w:lang w:val="sr-Latn-BA"/>
    </w:rPr>
  </w:style>
  <w:style w:type="paragraph" w:styleId="BodyText">
    <w:name w:val="Body Text"/>
    <w:basedOn w:val="Normal"/>
    <w:link w:val="BodyTextChar"/>
    <w:semiHidden/>
    <w:pPr>
      <w:spacing w:after="0" w:line="240" w:lineRule="auto"/>
    </w:pPr>
    <w:rPr>
      <w:rFonts w:ascii="Times New Roman" w:eastAsia="Times New Roman" w:hAnsi="Times New Roman"/>
      <w:sz w:val="24"/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semiHidden/>
    <w:rPr>
      <w:rFonts w:ascii="Times New Roman" w:eastAsia="Times New Roman" w:hAnsi="Times New Roman" w:cs="Times New Roman"/>
      <w:sz w:val="24"/>
      <w:szCs w:val="20"/>
      <w:lang w:val="hr-HR"/>
    </w:rPr>
  </w:style>
  <w:style w:type="character" w:styleId="CommentReference">
    <w:name w:val="annotation reference"/>
    <w:basedOn w:val="DefaultParagraphFont"/>
    <w:uiPriority w:val="99"/>
    <w:semiHidden/>
    <w:rPr>
      <w:sz w:val="16"/>
    </w:rPr>
  </w:style>
  <w:style w:type="character" w:customStyle="1" w:styleId="Bodytext2">
    <w:name w:val="Body text (2)_"/>
    <w:basedOn w:val="DefaultParagraphFont"/>
    <w:link w:val="Bodytext20"/>
    <w:rPr>
      <w:shd w:val="clear" w:color="auto" w:fill="FFFFFF"/>
    </w:rPr>
  </w:style>
  <w:style w:type="character" w:customStyle="1" w:styleId="Bodytext2Spacing3pt">
    <w:name w:val="Body text (2) + Spacing 3 pt"/>
    <w:basedOn w:val="Bodytext2"/>
    <w:rPr>
      <w:color w:val="000000"/>
      <w:spacing w:val="70"/>
      <w:w w:val="100"/>
      <w:position w:val="0"/>
      <w:sz w:val="24"/>
      <w:szCs w:val="24"/>
      <w:shd w:val="clear" w:color="auto" w:fill="FFFFFF"/>
      <w:lang w:val="hr-HR" w:eastAsia="hr-HR" w:bidi="hr-HR"/>
    </w:rPr>
  </w:style>
  <w:style w:type="character" w:customStyle="1" w:styleId="Bodytext3">
    <w:name w:val="Body text (3)_"/>
    <w:basedOn w:val="DefaultParagraphFont"/>
    <w:link w:val="Bodytext30"/>
    <w:rPr>
      <w:b/>
      <w:bCs/>
      <w:sz w:val="24"/>
      <w:szCs w:val="24"/>
      <w:shd w:val="clear" w:color="auto" w:fill="FFFFFF"/>
    </w:rPr>
  </w:style>
  <w:style w:type="paragraph" w:customStyle="1" w:styleId="Bodytext20">
    <w:name w:val="Body text (2)"/>
    <w:basedOn w:val="Normal"/>
    <w:link w:val="Bodytext2"/>
    <w:pPr>
      <w:widowControl w:val="0"/>
      <w:shd w:val="clear" w:color="auto" w:fill="FFFFFF"/>
      <w:spacing w:after="0" w:line="277" w:lineRule="exact"/>
    </w:pPr>
    <w:rPr>
      <w:rFonts w:asciiTheme="minorHAnsi" w:eastAsiaTheme="minorHAnsi" w:hAnsiTheme="minorHAnsi" w:cstheme="minorBidi"/>
      <w:lang w:val="bs-Latn-BA"/>
    </w:rPr>
  </w:style>
  <w:style w:type="paragraph" w:customStyle="1" w:styleId="Bodytext30">
    <w:name w:val="Body text (3)"/>
    <w:basedOn w:val="Normal"/>
    <w:link w:val="Bodytext3"/>
    <w:pPr>
      <w:widowControl w:val="0"/>
      <w:shd w:val="clear" w:color="auto" w:fill="FFFFFF"/>
      <w:spacing w:before="540" w:after="0" w:line="274" w:lineRule="exact"/>
      <w:jc w:val="center"/>
    </w:pPr>
    <w:rPr>
      <w:rFonts w:asciiTheme="minorHAnsi" w:eastAsiaTheme="minorHAnsi" w:hAnsiTheme="minorHAnsi" w:cstheme="minorBidi"/>
      <w:b/>
      <w:bCs/>
      <w:sz w:val="24"/>
      <w:szCs w:val="24"/>
      <w:lang w:val="bs-Latn-BA"/>
    </w:rPr>
  </w:style>
  <w:style w:type="paragraph" w:styleId="BodyText21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uiPriority w:val="99"/>
    <w:semiHidden/>
    <w:rPr>
      <w:rFonts w:ascii="Calibri" w:eastAsia="Calibri" w:hAnsi="Calibri" w:cs="Times New Roman"/>
      <w:lang w:val="sr-Latn-BA"/>
    </w:rPr>
  </w:style>
  <w:style w:type="paragraph" w:customStyle="1" w:styleId="BodyTextuvlaka3uvlaka2">
    <w:name w:val="Body Text.uvlaka 3.uvlaka 2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r-Latn-BA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  <w:lang w:val="sr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8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9AB58F4115D42929AFF8EFDEE8654" ma:contentTypeVersion="22" ma:contentTypeDescription="Create a new document." ma:contentTypeScope="" ma:versionID="1730ee066c9cbb47ae5889fdbc878b2d">
  <xsd:schema xmlns:xsd="http://www.w3.org/2001/XMLSchema" xmlns:xs="http://www.w3.org/2001/XMLSchema" xmlns:p="http://schemas.microsoft.com/office/2006/metadata/properties" xmlns:ns2="88c31fff-4aeb-4d06-8e23-96c05bf81695" xmlns:ns3="b2d5d4c4-c7da-4c1e-ab26-413a9cdd60ac" xmlns:ns4="4eac048a-4bc3-4d77-b3e5-b66a5696d6e2" targetNamespace="http://schemas.microsoft.com/office/2006/metadata/properties" ma:root="true" ma:fieldsID="a38dcb05eff813f9752a9de373e1b3c9" ns2:_="" ns3:_="" ns4:_="">
    <xsd:import namespace="88c31fff-4aeb-4d06-8e23-96c05bf81695"/>
    <xsd:import namespace="b2d5d4c4-c7da-4c1e-ab26-413a9cdd60ac"/>
    <xsd:import namespace="4eac048a-4bc3-4d77-b3e5-b66a5696d6e2"/>
    <xsd:element name="properties">
      <xsd:complexType>
        <xsd:sequence>
          <xsd:element name="documentManagement">
            <xsd:complexType>
              <xsd:all>
                <xsd:element ref="ns2:Broj_x0020_Akta_x0020__x0028_npr_x002e__x0020_01_x002d_120_x002f_05_x0029_"/>
                <xsd:element ref="ns2:Datum_x0020_donosenja"/>
                <xsd:element ref="ns2:Status"/>
                <xsd:element ref="ns2:Vrsta_x0020_Akta"/>
                <xsd:element ref="ns2:Karakter_x0020_Akta"/>
                <xsd:element ref="ns3:Broj_x0020_osnovnog_x0020_akta0" minOccurs="0"/>
                <xsd:element ref="ns3:Izmjene_x002f_Dopune" minOccurs="0"/>
                <xsd:element ref="ns2:Broj_x0020_neobjavljenog_x0020_osnovnog_x0020_akta" minOccurs="0"/>
                <xsd:element ref="ns2:Godina_x0020_dono_x0161_enja"/>
                <xsd:element ref="ns3:Napomena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31fff-4aeb-4d06-8e23-96c05bf81695" elementFormDefault="qualified">
    <xsd:import namespace="http://schemas.microsoft.com/office/2006/documentManagement/types"/>
    <xsd:import namespace="http://schemas.microsoft.com/office/infopath/2007/PartnerControls"/>
    <xsd:element name="Broj_x0020_Akta_x0020__x0028_npr_x002e__x0020_01_x002d_120_x002f_05_x0029_" ma:index="2" ma:displayName="Broj Akta" ma:default="" ma:indexed="true" ma:internalName="Broj_x0020_Akta_x0020__x0028_npr_x002e__x0020_01_x002d_120_x002f_05_x0029_">
      <xsd:simpleType>
        <xsd:restriction base="dms:Text">
          <xsd:maxLength value="255"/>
        </xsd:restriction>
      </xsd:simpleType>
    </xsd:element>
    <xsd:element name="Datum_x0020_donosenja" ma:index="3" ma:displayName="Datum" ma:default="" ma:format="DateOnly" ma:internalName="Datum_x0020_donosenja">
      <xsd:simpleType>
        <xsd:restriction base="dms:DateTime"/>
      </xsd:simpleType>
    </xsd:element>
    <xsd:element name="Status" ma:index="4" ma:displayName="Status" ma:default="Na snazi" ma:format="Dropdown" ma:internalName="Status">
      <xsd:simpleType>
        <xsd:restriction base="dms:Choice">
          <xsd:enumeration value="Na snazi"/>
          <xsd:enumeration value="Van snage"/>
          <xsd:enumeration value="Arhiva (ostali akti)"/>
        </xsd:restriction>
      </xsd:simpleType>
    </xsd:element>
    <xsd:element name="Vrsta_x0020_Akta" ma:index="5" ma:displayName="Vrsta Akta" ma:default="Odluka UV" ma:format="Dropdown" ma:internalName="Vrsta_x0020_Akta">
      <xsd:simpleType>
        <xsd:restriction base="dms:Choice">
          <xsd:enumeration value="Zakon"/>
          <xsd:enumeration value="Odluka UV"/>
          <xsd:enumeration value="Odluka GV"/>
          <xsd:enumeration value="Pravilnici"/>
          <xsd:enumeration value="Ugovori"/>
          <xsd:enumeration value="Uputstvo"/>
          <xsd:enumeration value="Instrukcija"/>
          <xsd:enumeration value="Procedura"/>
          <xsd:enumeration value="Rješenja"/>
          <xsd:enumeration value="Ovlaštenja"/>
          <xsd:enumeration value="Liste"/>
          <xsd:enumeration value="Misljenja"/>
          <xsd:enumeration value="Tumacenja"/>
          <xsd:enumeration value="Akti Odjeljenja za PS"/>
          <xsd:enumeration value="Ostalo"/>
        </xsd:restriction>
      </xsd:simpleType>
    </xsd:element>
    <xsd:element name="Karakter_x0020_Akta" ma:index="6" ma:displayName="Karakter Akta" ma:default="Osnovni tekst" ma:format="Dropdown" ma:internalName="Karakter_x0020_Akta">
      <xsd:simpleType>
        <xsd:restriction base="dms:Choice">
          <xsd:enumeration value="Osnovni tekst"/>
          <xsd:enumeration value="Izmjena/Dopuna"/>
        </xsd:restriction>
      </xsd:simpleType>
    </xsd:element>
    <xsd:element name="Broj_x0020_neobjavljenog_x0020_osnovnog_x0020_akta" ma:index="9" nillable="true" ma:displayName="Akti stavljeni van snage/prestala primjena" ma:internalName="Broj_x0020_neobjavljenog_x0020_osnovnog_x0020_akta">
      <xsd:simpleType>
        <xsd:restriction base="dms:Note">
          <xsd:maxLength value="255"/>
        </xsd:restriction>
      </xsd:simpleType>
    </xsd:element>
    <xsd:element name="Godina_x0020_dono_x0161_enja" ma:index="10" ma:displayName="Godina donošenja" ma:default="1997" ma:format="Dropdown" ma:internalName="Godina_x0020_dono_x0161_enja">
      <xsd:simpleType>
        <xsd:restriction base="dms:Choice">
          <xsd:enumeration value="1997"/>
          <xsd:enumeration value="1998"/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5d4c4-c7da-4c1e-ab26-413a9cdd60ac" elementFormDefault="qualified">
    <xsd:import namespace="http://schemas.microsoft.com/office/2006/documentManagement/types"/>
    <xsd:import namespace="http://schemas.microsoft.com/office/infopath/2007/PartnerControls"/>
    <xsd:element name="Broj_x0020_osnovnog_x0020_akta0" ma:index="7" nillable="true" ma:displayName="Broj osnovnog akta" ma:list="{90e42e45-3342-45d0-9ba1-00c795d8b9ea}" ma:internalName="Broj_x0020_osnovnog_x0020_akta0" ma:showField="Broj_x0020_Akta_x0020__x0028_npr_x002e__x0020_01_x002d_120_x002f_05_x0029_" ma:web="40af5269-b766-4386-98ea-07be65620534">
      <xsd:simpleType>
        <xsd:restriction base="dms:Lookup"/>
      </xsd:simpleType>
    </xsd:element>
    <xsd:element name="Izmjene_x002f_Dopune" ma:index="8" nillable="true" ma:displayName="Izmjene/Dopune" ma:list="{90e42e45-3342-45d0-9ba1-00c795d8b9ea}" ma:internalName="Izmjene_x002f_Dopune" ma:showField="Broj_x0020_Akta_x0020__x0028_npr_x002e__x0020_01_x002d_120_x002f_05_x0029_" ma:web="40af5269-b766-4386-98ea-07be65620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apomena" ma:index="11" nillable="true" ma:displayName="Napomena:" ma:default="" ma:internalName="Napomen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c048a-4bc3-4d77-b3e5-b66a5696d6e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Naziv Akt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zmjene_x002f_Dopune xmlns="b2d5d4c4-c7da-4c1e-ab26-413a9cdd60ac">
      <Value>1627</Value>
      <Value>1594</Value>
      <Value>1652</Value>
      <Value>1649</Value>
      <Value>1695</Value>
    </Izmjene_x002f_Dopune>
    <Broj_x0020_Akta_x0020__x0028_npr_x002e__x0020_01_x002d_120_x002f_05_x0029_ xmlns="88c31fff-4aeb-4d06-8e23-96c05bf81695"> UV-122-02-1-1827-5-24</Broj_x0020_Akta_x0020__x0028_npr_x002e__x0020_01_x002d_120_x002f_05_x0029_>
    <Status xmlns="88c31fff-4aeb-4d06-8e23-96c05bf81695">Na snazi</Status>
    <Broj_x0020_neobjavljenog_x0020_osnovnog_x0020_akta xmlns="88c31fff-4aeb-4d06-8e23-96c05bf81695" xsi:nil="true"/>
    <Datum_x0020_donosenja xmlns="88c31fff-4aeb-4d06-8e23-96c05bf81695">2024-10-29T23:00:00+00:00</Datum_x0020_donosenja>
    <Vrsta_x0020_Akta xmlns="88c31fff-4aeb-4d06-8e23-96c05bf81695">Odluka UV</Vrsta_x0020_Akta>
    <Napomena xmlns="b2d5d4c4-c7da-4c1e-ab26-413a9cdd60ac">-14. sjednica UCV CBBIH od 30.10.2024.godine
- odluka stupa na snagu narednog dana od dana objavljivanja u „Službenom glasniku Bosne i Hercegovine“, a primjenjivaće se od 01.12.2024. godine.
- odluka će se objaviti i u „Službenim novinama Federacije Bosne i Hercegovine“, „Službenom glasniku Republike Srpske“ i „Službenom glasniku Brčko distrikta Bosne i Hercegovine“.
- odluka je objavljena na intranetu 04.11.2024.godine u 12:54h
- odluka je objavljena u „Službenom glasniku BiH“ broj: 77/24 od 12.11.2024
</Napomena>
    <Godina_x0020_dono_x0161_enja xmlns="88c31fff-4aeb-4d06-8e23-96c05bf81695">2024</Godina_x0020_dono_x0161_enja>
    <Broj_x0020_osnovnog_x0020_akta0 xmlns="b2d5d4c4-c7da-4c1e-ab26-413a9cdd60ac">1598</Broj_x0020_osnovnog_x0020_akta0>
    <Karakter_x0020_Akta xmlns="88c31fff-4aeb-4d06-8e23-96c05bf81695">Izmjena/Dopuna</Karakter_x0020_Akta>
    <_dlc_DocId xmlns="4eac048a-4bc3-4d77-b3e5-b66a5696d6e2">FC3YXX4KJQNR-1644623942-1702</_dlc_DocId>
    <_dlc_DocIdUrl xmlns="4eac048a-4bc3-4d77-b3e5-b66a5696d6e2">
      <Url>http://intranet/dokumenti/_layouts/15/DocIdRedir.aspx?ID=FC3YXX4KJQNR-1644623942-1702</Url>
      <Description>FC3YXX4KJQNR-1644623942-1702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0ECD3-D394-4D50-ACB9-2A30665AB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31fff-4aeb-4d06-8e23-96c05bf81695"/>
    <ds:schemaRef ds:uri="b2d5d4c4-c7da-4c1e-ab26-413a9cdd60ac"/>
    <ds:schemaRef ds:uri="4eac048a-4bc3-4d77-b3e5-b66a5696d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DB11A3-1D5E-42B1-BCFD-99EE90D64371}">
  <ds:schemaRefs>
    <ds:schemaRef ds:uri="http://schemas.microsoft.com/office/2006/metadata/properties"/>
    <ds:schemaRef ds:uri="http://schemas.microsoft.com/office/infopath/2007/PartnerControls"/>
    <ds:schemaRef ds:uri="b2d5d4c4-c7da-4c1e-ab26-413a9cdd60ac"/>
    <ds:schemaRef ds:uri="88c31fff-4aeb-4d06-8e23-96c05bf81695"/>
    <ds:schemaRef ds:uri="4eac048a-4bc3-4d77-b3e5-b66a5696d6e2"/>
  </ds:schemaRefs>
</ds:datastoreItem>
</file>

<file path=customXml/itemProps3.xml><?xml version="1.0" encoding="utf-8"?>
<ds:datastoreItem xmlns:ds="http://schemas.openxmlformats.org/officeDocument/2006/customXml" ds:itemID="{608A4371-FEED-4AC4-B7EA-25EE99C4C7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10D8AC-9006-40E6-AFB6-884C9161EA9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BD0A8FE-43E6-416B-A68C-5A77B9BAF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Odluka o izmjeni Odluke o utvrđivanju i održavanju obaveznih rezervi i utvrđivanju naknade na iznos rezerve</vt:lpstr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Odluka o izmjeni Odluke o utvrđivanju i održavanju obaveznih rezervi i utvrđivanju naknade na iznos rezerve</dc:title>
  <dc:creator>Damir Soco</dc:creator>
  <cp:lastModifiedBy>Damir Soco</cp:lastModifiedBy>
  <cp:revision>9</cp:revision>
  <cp:lastPrinted>2024-11-01T10:09:00Z</cp:lastPrinted>
  <dcterms:created xsi:type="dcterms:W3CDTF">2025-02-26T10:19:00Z</dcterms:created>
  <dcterms:modified xsi:type="dcterms:W3CDTF">2025-03-11T13:15:00Z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0x0101001989AB58F4115D42929AFF8EFDEE8654</vt:lpwstr>
  </property>
  <property fmtid="{D5CDD505-2E9C-101B-9397-08002B2CF9AE}" pid="3" name="_dlc_DocIdItemGuid">
    <vt:lpwstr>5c2eb4d7-1a4c-42a0-b7b3-b3fd4c08af4c</vt:lpwstr>
  </property>
</Properties>
</file>