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jc w:val="both"/>
        <w:rPr>
          <w:rFonts w:ascii="Times New Roman" w:hAnsi="Times New Roman"/>
          <w:color w:val="000000"/>
          <w:szCs w:val="24"/>
          <w:lang w:val="bs-Latn-BA"/>
        </w:rPr>
      </w:pPr>
      <w:r>
        <w:rPr>
          <w:rFonts w:ascii="Times New Roman" w:hAnsi="Times New Roman"/>
          <w:szCs w:val="24"/>
          <w:lang w:val="bs-Latn-BA"/>
        </w:rPr>
        <w:t xml:space="preserve">Na osnovu člana 2. stav 3. tačaka a., d., f. i g., člana 7. tačke b) i članova 36. i 57. Zakona o Centralnoj banci Bosne i Hercegovine </w:t>
      </w:r>
      <w:r>
        <w:rPr>
          <w:rFonts w:ascii="Times New Roman" w:hAnsi="Times New Roman"/>
          <w:color w:val="000000"/>
          <w:szCs w:val="24"/>
          <w:lang w:val="bs-Latn-BA"/>
        </w:rPr>
        <w:t>(„Službeni glasnik BiH“, br. 1/97, 29/02, 8/03, 13/03, 14/03, 9/05, 76/06 i 32/07), Upravno vijeće Centralne banke Bosne i Hercegovine, na 1. sjednici održanoj dana 29.01.2026. godine, donosi</w:t>
      </w:r>
    </w:p>
    <w:p>
      <w:pPr>
        <w:pStyle w:val="BodyText"/>
        <w:rPr>
          <w:rFonts w:ascii="Times New Roman" w:hAnsi="Times New Roman"/>
          <w:szCs w:val="24"/>
          <w:lang w:val="bs-Latn-BA"/>
        </w:rPr>
      </w:pPr>
    </w:p>
    <w:p>
      <w:pPr>
        <w:pStyle w:val="BodyText"/>
        <w:rPr>
          <w:rFonts w:ascii="Times New Roman" w:hAnsi="Times New Roman"/>
          <w:szCs w:val="24"/>
          <w:lang w:val="bs-Latn-BA"/>
        </w:rPr>
      </w:pPr>
    </w:p>
    <w:p>
      <w:pPr>
        <w:pStyle w:val="BodyText"/>
        <w:jc w:val="center"/>
        <w:rPr>
          <w:rFonts w:ascii="Times New Roman" w:hAnsi="Times New Roman"/>
          <w:b/>
          <w:spacing w:val="40"/>
          <w:szCs w:val="24"/>
          <w:lang w:val="bs-Latn-BA"/>
        </w:rPr>
      </w:pPr>
      <w:r>
        <w:rPr>
          <w:rFonts w:ascii="Times New Roman" w:hAnsi="Times New Roman"/>
          <w:b/>
          <w:spacing w:val="40"/>
          <w:szCs w:val="24"/>
          <w:lang w:val="bs-Latn-BA"/>
        </w:rPr>
        <w:t>ODLUKU</w:t>
      </w:r>
    </w:p>
    <w:p>
      <w:pPr>
        <w:pStyle w:val="BodyText"/>
        <w:jc w:val="center"/>
        <w:rPr>
          <w:rFonts w:ascii="Times New Roman" w:hAnsi="Times New Roman"/>
          <w:b/>
          <w:szCs w:val="24"/>
          <w:lang w:val="bs-Latn-BA"/>
        </w:rPr>
      </w:pPr>
      <w:r>
        <w:rPr>
          <w:rFonts w:ascii="Times New Roman" w:hAnsi="Times New Roman"/>
          <w:b/>
          <w:szCs w:val="24"/>
          <w:lang w:val="bs-Latn-BA"/>
        </w:rPr>
        <w:t>o utvrđivanju i održavanju obaveznih rezervi i</w:t>
      </w:r>
    </w:p>
    <w:p>
      <w:pPr>
        <w:pStyle w:val="BodyText"/>
        <w:jc w:val="center"/>
        <w:rPr>
          <w:rFonts w:ascii="Times New Roman" w:hAnsi="Times New Roman"/>
          <w:b/>
          <w:szCs w:val="24"/>
          <w:lang w:val="bs-Latn-BA"/>
        </w:rPr>
      </w:pPr>
      <w:r>
        <w:rPr>
          <w:rFonts w:ascii="Times New Roman" w:hAnsi="Times New Roman"/>
          <w:b/>
          <w:szCs w:val="24"/>
          <w:lang w:val="bs-Latn-BA"/>
        </w:rPr>
        <w:t>utvrđivanju naknade na iznos rezerve</w:t>
      </w:r>
    </w:p>
    <w:p>
      <w:pPr>
        <w:pStyle w:val="BodyText"/>
        <w:jc w:val="center"/>
        <w:rPr>
          <w:rFonts w:ascii="Times New Roman" w:hAnsi="Times New Roman"/>
          <w:b/>
          <w:szCs w:val="24"/>
          <w:lang w:val="bs-Latn-BA"/>
        </w:rPr>
      </w:pPr>
      <w:r>
        <w:rPr>
          <w:rFonts w:ascii="Times New Roman" w:hAnsi="Times New Roman"/>
          <w:b/>
          <w:szCs w:val="24"/>
          <w:lang w:val="bs-Latn-BA"/>
        </w:rPr>
        <w:t>(novelirani tekst)</w:t>
      </w:r>
    </w:p>
    <w:p>
      <w:pPr>
        <w:pStyle w:val="BodyText"/>
        <w:jc w:val="center"/>
        <w:rPr>
          <w:rFonts w:ascii="Times New Roman" w:hAnsi="Times New Roman"/>
          <w:szCs w:val="24"/>
          <w:lang w:val="bs-Latn-BA"/>
        </w:rPr>
      </w:pPr>
    </w:p>
    <w:p>
      <w:pPr>
        <w:pStyle w:val="BodyText"/>
        <w:jc w:val="center"/>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1.</w:t>
      </w:r>
    </w:p>
    <w:p>
      <w:pPr>
        <w:pStyle w:val="BodyText"/>
        <w:jc w:val="both"/>
        <w:rPr>
          <w:rFonts w:ascii="Times New Roman" w:hAnsi="Times New Roman"/>
          <w:szCs w:val="24"/>
          <w:lang w:val="bs-Latn-BA"/>
        </w:rPr>
      </w:pPr>
      <w:r>
        <w:rPr>
          <w:rFonts w:ascii="Times New Roman" w:hAnsi="Times New Roman"/>
          <w:szCs w:val="24"/>
          <w:lang w:val="bs-Latn-BA"/>
        </w:rPr>
        <w:t>Ovom odlukom, u skladu s članom 36. Zakona o Centralnoj banci Bosne i Hercegovine, uređuje se način obračunavanja i držanja obaveznih rezervi i utvrđivanje naknade Centralne banke Bosne i Hercegovine (u daljnjem tekstu: Centralna banka) bankama na iznos rezerve.</w:t>
      </w:r>
    </w:p>
    <w:p>
      <w:pPr>
        <w:pStyle w:val="BodyText"/>
        <w:jc w:val="both"/>
        <w:rPr>
          <w:rFonts w:ascii="Times New Roman" w:hAnsi="Times New Roman"/>
          <w:b/>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2.</w:t>
      </w:r>
    </w:p>
    <w:p>
      <w:pPr>
        <w:pStyle w:val="BodyText"/>
        <w:jc w:val="both"/>
        <w:rPr>
          <w:rFonts w:ascii="Times New Roman" w:hAnsi="Times New Roman"/>
          <w:szCs w:val="24"/>
          <w:u w:val="single"/>
          <w:lang w:val="bs-Latn-BA"/>
        </w:rPr>
      </w:pPr>
      <w:r>
        <w:rPr>
          <w:rFonts w:ascii="Times New Roman" w:hAnsi="Times New Roman"/>
          <w:szCs w:val="24"/>
          <w:lang w:val="bs-Latn-BA"/>
        </w:rPr>
        <w:t>Banka koja ima dozvolu nadležne agencije za bankarstvo za obavljanje bankarskih poslova dužna je da na računu rezervi kod Centralne banke drži sredstva radi ispunjavanja obavezne rezerve u nivou i na način utvrđen ovom odlukom.</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3.</w:t>
      </w:r>
    </w:p>
    <w:p>
      <w:pPr>
        <w:jc w:val="both"/>
        <w:rPr>
          <w:lang w:val="bs-Latn-BA"/>
        </w:rPr>
      </w:pPr>
      <w:r>
        <w:rPr>
          <w:lang w:val="bs-Latn-BA"/>
        </w:rPr>
        <w:t>(1) Osnovicu za obračun obavezne rezerve čine depoziti i pozajmljena sredstva, bez obzira na to u kojoj se valuti sredstva izraze. Osnovicu u domaćoj valuti za obračun obavezne rezerve u KM čine depoziti i pozajmljena sredstva u KM. Deviznu osnovicu za obračun obavezne rezerve u EUR čine depoziti i pozajmljena sredstva u KM s valutnom klauzulom i depoziti i pozajmljena sredstva u stranim valutama.</w:t>
      </w:r>
    </w:p>
    <w:p>
      <w:pPr>
        <w:jc w:val="both"/>
        <w:rPr>
          <w:lang w:val="bs-Latn-BA"/>
        </w:rPr>
      </w:pPr>
      <w:r>
        <w:rPr>
          <w:lang w:val="bs-Latn-BA"/>
        </w:rPr>
        <w:t>(2) Obavezna rezerva se obračunava prema stanju sredstava iz stava (1) ovog člana, izraženih prema rezidualnom roku dospijeća, na kraju svakog dana kada Centralna banka vrši promjene na računima rezervi (u daljnjem tekstu: radni dan), u toku obračunskog perioda koji prethodi periodu održavanja.</w:t>
      </w:r>
    </w:p>
    <w:p>
      <w:pPr>
        <w:pStyle w:val="BodyText"/>
        <w:jc w:val="both"/>
        <w:rPr>
          <w:rFonts w:ascii="Times New Roman" w:hAnsi="Times New Roman"/>
          <w:szCs w:val="24"/>
          <w:lang w:val="bs-Latn-BA"/>
        </w:rPr>
      </w:pPr>
      <w:r>
        <w:rPr>
          <w:rFonts w:ascii="Times New Roman" w:hAnsi="Times New Roman"/>
          <w:szCs w:val="24"/>
          <w:lang w:val="bs-Latn-BA"/>
        </w:rPr>
        <w:t>(3) Obračunski period (period obračuna obaveznih rezervi) započinje svakog mjeseca u dane prvog, jedanaestog i dvadeset i prvog, a završava se desetog, dvadesetog i posljednjeg dana u mjesecu.</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4.</w:t>
      </w:r>
    </w:p>
    <w:p>
      <w:pPr>
        <w:pStyle w:val="BodyText"/>
        <w:jc w:val="both"/>
        <w:rPr>
          <w:rFonts w:ascii="Times New Roman" w:hAnsi="Times New Roman"/>
          <w:szCs w:val="24"/>
          <w:lang w:val="bs-Latn-BA"/>
        </w:rPr>
      </w:pPr>
      <w:r>
        <w:rPr>
          <w:rFonts w:ascii="Times New Roman" w:hAnsi="Times New Roman"/>
          <w:szCs w:val="24"/>
          <w:lang w:val="bs-Latn-BA"/>
        </w:rPr>
        <w:t>(1) Banka je obavezna da nakon svakog obračunskog perioda, a najkasnije u roku od tri radna dana po isteku perioda obračuna, dostavi Centralnoj banci izvještaj o stanju depozita i pozajmljenih sredstava izraženih u konvertibilnim markama i u EUR na obrascu „Izvještaj za obračun obavezne rezerve“, propisanom ovom odlukom, koji čini njen sastavni dio.</w:t>
      </w:r>
    </w:p>
    <w:p>
      <w:pPr>
        <w:pStyle w:val="BodyText"/>
        <w:jc w:val="both"/>
        <w:rPr>
          <w:rFonts w:ascii="Times New Roman" w:hAnsi="Times New Roman"/>
          <w:szCs w:val="24"/>
          <w:lang w:val="bs-Latn-BA"/>
        </w:rPr>
      </w:pPr>
      <w:r>
        <w:rPr>
          <w:rFonts w:ascii="Times New Roman" w:hAnsi="Times New Roman"/>
          <w:szCs w:val="24"/>
          <w:lang w:val="bs-Latn-BA"/>
        </w:rPr>
        <w:t xml:space="preserve">(2) Banka je, pored podataka koje dostavlja na obrascu iz stava (1) ovog člana putem e-maila, Centralnoj banci dužna dostaviti iste podatke u istom roku i u elektronskom obliku na način utvrđen tehničkim uputstvom od strane Centralne banke. </w:t>
      </w:r>
    </w:p>
    <w:p>
      <w:pPr>
        <w:pStyle w:val="BodyText"/>
        <w:jc w:val="center"/>
        <w:rPr>
          <w:rFonts w:ascii="Times New Roman" w:hAnsi="Times New Roman"/>
          <w:szCs w:val="24"/>
          <w:lang w:val="bs-Latn-BA"/>
        </w:rPr>
      </w:pPr>
    </w:p>
    <w:p>
      <w:pPr>
        <w:jc w:val="center"/>
        <w:rPr>
          <w:b/>
          <w:lang w:val="bs-Latn-BA"/>
        </w:rPr>
      </w:pPr>
      <w:r>
        <w:rPr>
          <w:b/>
          <w:lang w:val="bs-Latn-BA"/>
        </w:rPr>
        <w:t>Član 5.</w:t>
      </w:r>
    </w:p>
    <w:p>
      <w:pPr>
        <w:jc w:val="both"/>
        <w:rPr>
          <w:lang w:val="bs-Latn-BA"/>
        </w:rPr>
      </w:pPr>
      <w:r>
        <w:rPr>
          <w:lang w:val="bs-Latn-BA"/>
        </w:rPr>
        <w:t>(1) Obavezna rezerva se obračunava kao obavezna rezerva u KM na osnovicu u domaćoj valuti i obavezna rezerva u EUR na deviznu osnovicu.</w:t>
      </w:r>
    </w:p>
    <w:p>
      <w:pPr>
        <w:jc w:val="both"/>
        <w:rPr>
          <w:lang w:val="bs-Latn-BA"/>
        </w:rPr>
      </w:pPr>
      <w:r>
        <w:rPr>
          <w:lang w:val="bs-Latn-BA"/>
        </w:rPr>
        <w:t>(2) Stopa obavezne rezerve koju Centralna banka primjenjuje iznosi:</w:t>
      </w:r>
    </w:p>
    <w:p>
      <w:pPr>
        <w:numPr>
          <w:ilvl w:val="0"/>
          <w:numId w:val="8"/>
        </w:numPr>
        <w:jc w:val="both"/>
        <w:rPr>
          <w:lang w:val="bs-Latn-BA"/>
        </w:rPr>
      </w:pPr>
      <w:r>
        <w:rPr>
          <w:lang w:val="bs-Latn-BA"/>
        </w:rPr>
        <w:t>10 % na osnovicu u domaćoj valuti s rezidualnim rokom dospijeća do jedne godine,</w:t>
      </w:r>
    </w:p>
    <w:p>
      <w:pPr>
        <w:numPr>
          <w:ilvl w:val="0"/>
          <w:numId w:val="8"/>
        </w:numPr>
        <w:jc w:val="both"/>
        <w:rPr>
          <w:lang w:val="bs-Latn-BA"/>
        </w:rPr>
      </w:pPr>
      <w:r>
        <w:rPr>
          <w:lang w:val="bs-Latn-BA"/>
        </w:rPr>
        <w:lastRenderedPageBreak/>
        <w:t>10 % na deviznu osnovicu s rezidualnim rokom dospijeća do jedne godine,</w:t>
      </w:r>
    </w:p>
    <w:p>
      <w:pPr>
        <w:numPr>
          <w:ilvl w:val="0"/>
          <w:numId w:val="8"/>
        </w:numPr>
        <w:jc w:val="both"/>
        <w:rPr>
          <w:lang w:val="bs-Latn-BA"/>
        </w:rPr>
      </w:pPr>
      <w:r>
        <w:rPr>
          <w:lang w:val="bs-Latn-BA"/>
        </w:rPr>
        <w:t>10 % na osnovicu u domaćoj valuti s rezidualnim rokom dospijeća preko jedne godine,</w:t>
      </w:r>
    </w:p>
    <w:p>
      <w:pPr>
        <w:numPr>
          <w:ilvl w:val="0"/>
          <w:numId w:val="8"/>
        </w:numPr>
        <w:jc w:val="both"/>
        <w:rPr>
          <w:lang w:val="bs-Latn-BA"/>
        </w:rPr>
      </w:pPr>
      <w:r>
        <w:rPr>
          <w:lang w:val="bs-Latn-BA"/>
        </w:rPr>
        <w:t>10 % na deviznu osnovicu s rezidualnom rokom dospijeća preko jedne godine.</w:t>
      </w:r>
    </w:p>
    <w:p>
      <w:pPr>
        <w:jc w:val="center"/>
        <w:rPr>
          <w:lang w:val="bs-Latn-BA"/>
        </w:rPr>
      </w:pPr>
    </w:p>
    <w:p>
      <w:pPr>
        <w:jc w:val="center"/>
        <w:rPr>
          <w:b/>
          <w:lang w:val="bs-Latn-BA"/>
        </w:rPr>
      </w:pPr>
      <w:r>
        <w:rPr>
          <w:b/>
          <w:lang w:val="bs-Latn-BA"/>
        </w:rPr>
        <w:t>Član 6.</w:t>
      </w:r>
    </w:p>
    <w:p>
      <w:pPr>
        <w:jc w:val="both"/>
        <w:rPr>
          <w:lang w:val="bs-Latn-BA"/>
        </w:rPr>
      </w:pPr>
      <w:r>
        <w:rPr>
          <w:lang w:val="bs-Latn-BA"/>
        </w:rPr>
        <w:t>Sredstva kojima banka može održavati obavezne rezerve, obračunate u smislu ove odluke, su:</w:t>
      </w:r>
    </w:p>
    <w:p>
      <w:pPr>
        <w:numPr>
          <w:ilvl w:val="0"/>
          <w:numId w:val="7"/>
        </w:numPr>
        <w:jc w:val="both"/>
        <w:rPr>
          <w:lang w:val="bs-Latn-BA"/>
        </w:rPr>
      </w:pPr>
      <w:r>
        <w:rPr>
          <w:lang w:val="bs-Latn-BA"/>
        </w:rPr>
        <w:t>za obaveznu rezervu u KM potražni saldo sredstava te banke na računu rezervi u KM kod Centralne banke, na kraju svakog radnog dana u periodu održavanja,</w:t>
      </w:r>
    </w:p>
    <w:p>
      <w:pPr>
        <w:numPr>
          <w:ilvl w:val="0"/>
          <w:numId w:val="7"/>
        </w:numPr>
        <w:jc w:val="both"/>
        <w:rPr>
          <w:lang w:val="bs-Latn-BA"/>
        </w:rPr>
      </w:pPr>
      <w:r>
        <w:rPr>
          <w:lang w:val="bs-Latn-BA"/>
        </w:rPr>
        <w:t>za obaveznu rezervu u EUR potražni saldo sredstava te banke na računu rezervi u EUR kod Centralne banke, na kraju svakog radnog dana u periodu održavanja.</w:t>
      </w:r>
    </w:p>
    <w:p>
      <w:pPr>
        <w:rPr>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7.</w:t>
      </w:r>
    </w:p>
    <w:p>
      <w:pPr>
        <w:pStyle w:val="NoSpacing"/>
        <w:numPr>
          <w:ilvl w:val="0"/>
          <w:numId w:val="12"/>
        </w:numPr>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Centralna banka obračunava naknadu banci na iznos sredstava koji ta banka drži na računu rezervi u KM u periodu održavanja:</w:t>
      </w:r>
    </w:p>
    <w:p>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na sredstva obavezne rezerve u KM – po stopi </w:t>
      </w:r>
      <w:bookmarkStart w:id="0" w:name="_Hlk117601950"/>
      <w:r>
        <w:rPr>
          <w:rFonts w:ascii="Times New Roman" w:eastAsia="Times New Roman" w:hAnsi="Times New Roman"/>
          <w:sz w:val="24"/>
          <w:szCs w:val="24"/>
        </w:rPr>
        <w:t>od 50 baznih poena</w:t>
      </w:r>
      <w:r>
        <w:rPr>
          <w:rFonts w:ascii="Times New Roman" w:hAnsi="Times New Roman"/>
          <w:sz w:val="24"/>
          <w:szCs w:val="24"/>
        </w:rPr>
        <w:t>,</w:t>
      </w:r>
      <w:bookmarkEnd w:id="0"/>
    </w:p>
    <w:p>
      <w:pPr>
        <w:pStyle w:val="ListParagraph"/>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na sredstva iznad obavezne rezerve u KM – po </w:t>
      </w:r>
      <w:r>
        <w:rPr>
          <w:rFonts w:ascii="Times New Roman" w:eastAsia="Times New Roman" w:hAnsi="Times New Roman"/>
          <w:sz w:val="24"/>
          <w:szCs w:val="24"/>
        </w:rPr>
        <w:t>nultoj stopi.</w:t>
      </w:r>
    </w:p>
    <w:p>
      <w:pPr>
        <w:jc w:val="both"/>
        <w:rPr>
          <w:lang w:val="bs-Latn-BA"/>
        </w:rPr>
      </w:pPr>
      <w:r>
        <w:rPr>
          <w:lang w:val="bs-Latn-BA"/>
        </w:rPr>
        <w:t>(2) Centralna banka obračunava naknadu banci na iznos sredstava koji ta banka drži na računu rezervi u EUR u periodu održavanja:</w:t>
      </w:r>
    </w:p>
    <w:p>
      <w:pPr>
        <w:pStyle w:val="ListParagraph"/>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obavezne rezerve u EUR – po stopi od 30 baznih poena,</w:t>
      </w:r>
    </w:p>
    <w:p>
      <w:pPr>
        <w:pStyle w:val="ListParagraph"/>
        <w:numPr>
          <w:ilvl w:val="0"/>
          <w:numId w:val="1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na sredstva iznad obavezne rezerve u EUR – po nultoj stopi.</w:t>
      </w:r>
    </w:p>
    <w:p>
      <w:pPr>
        <w:jc w:val="both"/>
        <w:rPr>
          <w:lang w:val="bs-Latn-BA" w:eastAsia="bs-Latn-BA"/>
        </w:rPr>
      </w:pPr>
    </w:p>
    <w:p>
      <w:pPr>
        <w:pStyle w:val="BodyText"/>
        <w:jc w:val="center"/>
        <w:rPr>
          <w:rFonts w:ascii="Times New Roman" w:hAnsi="Times New Roman"/>
          <w:b/>
          <w:bCs/>
          <w:szCs w:val="24"/>
          <w:lang w:val="bs-Latn-BA"/>
        </w:rPr>
      </w:pPr>
      <w:r>
        <w:rPr>
          <w:rFonts w:ascii="Times New Roman" w:hAnsi="Times New Roman"/>
          <w:b/>
          <w:bCs/>
          <w:szCs w:val="24"/>
          <w:lang w:val="bs-Latn-BA"/>
        </w:rPr>
        <w:t>Član 8.</w:t>
      </w:r>
    </w:p>
    <w:p>
      <w:pPr>
        <w:pStyle w:val="BodyText"/>
        <w:jc w:val="both"/>
        <w:rPr>
          <w:rFonts w:ascii="Times New Roman" w:hAnsi="Times New Roman"/>
          <w:color w:val="000000"/>
          <w:szCs w:val="24"/>
          <w:lang w:val="bs-Latn-BA"/>
        </w:rPr>
      </w:pPr>
      <w:r>
        <w:rPr>
          <w:rFonts w:ascii="Times New Roman" w:hAnsi="Times New Roman"/>
          <w:szCs w:val="24"/>
          <w:lang w:val="bs-Latn-BA"/>
        </w:rPr>
        <w:t xml:space="preserve">Centralna banka za iznos naknade iz člana 7. ove odluke vrši promjene stanja na računu rezervi u KM i računu rezervi u EUR banke </w:t>
      </w:r>
      <w:r>
        <w:rPr>
          <w:rFonts w:ascii="Times New Roman" w:hAnsi="Times New Roman"/>
          <w:color w:val="000000"/>
          <w:szCs w:val="24"/>
          <w:lang w:val="bs-Latn-BA"/>
        </w:rPr>
        <w:t xml:space="preserve">u roku do pet dana, </w:t>
      </w:r>
      <w:r>
        <w:rPr>
          <w:rFonts w:ascii="Times New Roman" w:hAnsi="Times New Roman"/>
          <w:szCs w:val="24"/>
          <w:lang w:val="bs-Latn-BA"/>
        </w:rPr>
        <w:t>računajući od posljednjeg dana u mjesecu u kojem se banci tokom perioda održavanja obavezne rezerve obračunavala naknada</w:t>
      </w:r>
      <w:r>
        <w:rPr>
          <w:rFonts w:ascii="Times New Roman" w:hAnsi="Times New Roman"/>
          <w:color w:val="000000"/>
          <w:szCs w:val="24"/>
          <w:lang w:val="bs-Latn-BA"/>
        </w:rPr>
        <w:t>.</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9.</w:t>
      </w:r>
    </w:p>
    <w:p>
      <w:pPr>
        <w:jc w:val="both"/>
        <w:rPr>
          <w:lang w:val="bs-Latn-BA"/>
        </w:rPr>
      </w:pPr>
      <w:r>
        <w:rPr>
          <w:lang w:val="bs-Latn-BA"/>
        </w:rPr>
        <w:t>Banka nije ispunila obaveznu rezervu:</w:t>
      </w:r>
    </w:p>
    <w:p>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ukoliko u periodu održavanja obavezne rezerve u KM ne obezbijedi ukupna sredstva na računu rezervi u KM, ili</w:t>
      </w:r>
    </w:p>
    <w:p>
      <w:pPr>
        <w:pStyle w:val="ListParagraph"/>
        <w:numPr>
          <w:ilvl w:val="0"/>
          <w:numId w:val="13"/>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ukoliko u periodu održavanja obavezne rezerve u EUR ne obezbijedi ukupna sredstva na računu rezervi u EUR, ili</w:t>
      </w:r>
    </w:p>
    <w:p>
      <w:pPr>
        <w:pStyle w:val="ListParagraph"/>
        <w:numPr>
          <w:ilvl w:val="0"/>
          <w:numId w:val="13"/>
        </w:numPr>
        <w:spacing w:after="0" w:line="240" w:lineRule="auto"/>
        <w:jc w:val="both"/>
        <w:rPr>
          <w:rFonts w:ascii="Times New Roman" w:hAnsi="Times New Roman"/>
          <w:sz w:val="24"/>
          <w:szCs w:val="24"/>
        </w:rPr>
      </w:pPr>
      <w:r>
        <w:rPr>
          <w:rFonts w:ascii="Times New Roman" w:eastAsia="Times New Roman" w:hAnsi="Times New Roman"/>
          <w:sz w:val="24"/>
          <w:szCs w:val="24"/>
        </w:rPr>
        <w:t xml:space="preserve">u cijelosti ako Centralnoj banci blagovremeno ne dostavi pravilno i potpuno popunjen propisani obrazac Izvještaja za obračun obavezne rezerve i podatke u elektronskom obliku, u skladu s članom 4. ove odluke. </w:t>
      </w:r>
    </w:p>
    <w:p>
      <w:pPr>
        <w:pStyle w:val="BodyText"/>
        <w:jc w:val="both"/>
        <w:rPr>
          <w:rFonts w:ascii="Times New Roman" w:hAnsi="Times New Roman"/>
          <w:color w:val="000000"/>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10.</w:t>
      </w:r>
    </w:p>
    <w:p>
      <w:pPr>
        <w:pStyle w:val="BodyText"/>
        <w:jc w:val="both"/>
        <w:rPr>
          <w:rFonts w:ascii="Times New Roman" w:hAnsi="Times New Roman"/>
          <w:szCs w:val="24"/>
          <w:lang w:val="bs-Latn-BA"/>
        </w:rPr>
      </w:pPr>
      <w:r>
        <w:rPr>
          <w:rFonts w:ascii="Times New Roman" w:hAnsi="Times New Roman"/>
          <w:szCs w:val="24"/>
          <w:lang w:val="bs-Latn-BA"/>
        </w:rPr>
        <w:t>(1) Guverner Centralne banke je obavezan najmanje jedanput kvartalno podnositi Upravnom vijeću izvještaj o primjeni ove odluke.</w:t>
      </w:r>
    </w:p>
    <w:p>
      <w:pPr>
        <w:pStyle w:val="BodyText"/>
        <w:jc w:val="both"/>
        <w:rPr>
          <w:rFonts w:ascii="Times New Roman" w:hAnsi="Times New Roman"/>
          <w:szCs w:val="24"/>
          <w:lang w:val="bs-Latn-BA"/>
        </w:rPr>
      </w:pPr>
      <w:r>
        <w:rPr>
          <w:rFonts w:ascii="Times New Roman" w:hAnsi="Times New Roman"/>
          <w:szCs w:val="24"/>
          <w:lang w:val="bs-Latn-BA"/>
        </w:rPr>
        <w:t>(2) Kada banka ne ispuni obaveznu rezervu, Centralna banka preduzima mjere propisane članom 36. tačkom 5. Zakona o Centralnoj banci Bosne i Hercegovine.</w:t>
      </w:r>
    </w:p>
    <w:p>
      <w:pPr>
        <w:pStyle w:val="BodyText"/>
        <w:jc w:val="both"/>
        <w:rPr>
          <w:rFonts w:ascii="Times New Roman" w:hAnsi="Times New Roman"/>
          <w:szCs w:val="24"/>
          <w:lang w:val="bs-Latn-BA"/>
        </w:rPr>
      </w:pPr>
    </w:p>
    <w:p>
      <w:pPr>
        <w:pStyle w:val="BodyText"/>
        <w:jc w:val="center"/>
        <w:rPr>
          <w:rFonts w:ascii="Times New Roman" w:hAnsi="Times New Roman"/>
          <w:b/>
          <w:szCs w:val="24"/>
          <w:lang w:val="bs-Latn-BA"/>
        </w:rPr>
      </w:pPr>
      <w:r>
        <w:rPr>
          <w:rFonts w:ascii="Times New Roman" w:hAnsi="Times New Roman"/>
          <w:b/>
          <w:szCs w:val="24"/>
          <w:lang w:val="bs-Latn-BA"/>
        </w:rPr>
        <w:t>Član 11.</w:t>
      </w:r>
    </w:p>
    <w:p>
      <w:pPr>
        <w:pStyle w:val="BodyText"/>
        <w:jc w:val="both"/>
        <w:rPr>
          <w:rFonts w:ascii="Times New Roman" w:hAnsi="Times New Roman"/>
          <w:szCs w:val="24"/>
          <w:lang w:val="bs-Latn-BA"/>
        </w:rPr>
      </w:pPr>
      <w:r>
        <w:rPr>
          <w:rFonts w:ascii="Times New Roman" w:hAnsi="Times New Roman"/>
          <w:szCs w:val="24"/>
          <w:lang w:val="bs-Latn-BA"/>
        </w:rPr>
        <w:t>U smislu ove odluke značenje pojedinih pojmova je kako slijedi:</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banka</w:t>
      </w:r>
      <w:r>
        <w:rPr>
          <w:rFonts w:ascii="Times New Roman" w:hAnsi="Times New Roman"/>
          <w:sz w:val="24"/>
          <w:szCs w:val="24"/>
        </w:rPr>
        <w:t xml:space="preserve"> – komercijalna banka koja ima dozvolu za rad od Agencije za bankarstvo Federacije Bosne i Hercegovine ili Agencije za bankarstvo Republike Srpske,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račun rezervi u KM</w:t>
      </w:r>
      <w:r>
        <w:rPr>
          <w:rFonts w:ascii="Times New Roman" w:hAnsi="Times New Roman"/>
          <w:sz w:val="24"/>
          <w:szCs w:val="24"/>
        </w:rPr>
        <w:t xml:space="preserve"> – račun kod Centralne banke na kojem banka drži sredstva rezervi u KM radi ispunjenja obavezne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račun rezervi u EUR</w:t>
      </w:r>
      <w:r>
        <w:rPr>
          <w:rFonts w:ascii="Times New Roman" w:hAnsi="Times New Roman"/>
          <w:sz w:val="24"/>
          <w:szCs w:val="24"/>
        </w:rPr>
        <w:t xml:space="preserve"> – račun kod Centralne banke na kojem banka drži sredstva rezervi u EUR radi ispunjenja obavezne rezerve,</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sz w:val="24"/>
          <w:szCs w:val="24"/>
        </w:rPr>
        <w:lastRenderedPageBreak/>
        <w:t>osnovica za obračun obaveznih rezervi</w:t>
      </w:r>
      <w:r>
        <w:rPr>
          <w:rFonts w:ascii="Times New Roman" w:hAnsi="Times New Roman"/>
          <w:sz w:val="24"/>
          <w:szCs w:val="24"/>
        </w:rPr>
        <w:t xml:space="preserve"> – prosjek depozita banke i pozajmljenih sredstava banke bez obzira na valutu u kojoj su sredstva izražena, prema izvještaju koji banka dostavlja Centralnoj banci na propisanom obrascu u skladu s članom 4. ove odluke, a na koje se obračunava obaveza. Osnovicu za obračun obavezne rezerve čine osnovica u domaćoj valuti, KM i devizna osnovica. Deviznu osnovicu čine osnovica u KM s valutnom klauzulom i osnovica u stranim valutama,</w:t>
      </w:r>
    </w:p>
    <w:p>
      <w:pPr>
        <w:pStyle w:val="ListParagraph"/>
        <w:numPr>
          <w:ilvl w:val="0"/>
          <w:numId w:val="2"/>
        </w:numPr>
        <w:spacing w:after="0" w:line="240" w:lineRule="auto"/>
        <w:jc w:val="both"/>
        <w:rPr>
          <w:rFonts w:ascii="Times New Roman" w:hAnsi="Times New Roman"/>
          <w:b/>
          <w:sz w:val="24"/>
          <w:szCs w:val="24"/>
        </w:rPr>
      </w:pPr>
      <w:r>
        <w:rPr>
          <w:rFonts w:ascii="Times New Roman" w:hAnsi="Times New Roman"/>
          <w:b/>
          <w:sz w:val="24"/>
          <w:szCs w:val="24"/>
        </w:rPr>
        <w:t xml:space="preserve">prosječno stanje – prosjek </w:t>
      </w:r>
      <w:r>
        <w:rPr>
          <w:rFonts w:ascii="Times New Roman" w:hAnsi="Times New Roman"/>
          <w:sz w:val="24"/>
          <w:szCs w:val="24"/>
        </w:rPr>
        <w:t xml:space="preserve">– </w:t>
      </w:r>
      <w:r>
        <w:rPr>
          <w:rFonts w:ascii="Times New Roman" w:hAnsi="Times New Roman"/>
          <w:bCs/>
          <w:sz w:val="24"/>
          <w:szCs w:val="24"/>
        </w:rPr>
        <w:t>zbir knjigovodstvenih stanja depozita i pozajmljenih</w:t>
      </w:r>
      <w:r>
        <w:rPr>
          <w:rFonts w:ascii="Times New Roman" w:hAnsi="Times New Roman"/>
          <w:b/>
          <w:sz w:val="24"/>
          <w:szCs w:val="24"/>
        </w:rPr>
        <w:t xml:space="preserve"> </w:t>
      </w:r>
      <w:r>
        <w:rPr>
          <w:rFonts w:ascii="Times New Roman" w:hAnsi="Times New Roman"/>
          <w:bCs/>
          <w:sz w:val="24"/>
          <w:szCs w:val="24"/>
        </w:rPr>
        <w:t>sredstava prema izvještaju za obračun obavezne rezerve, za svaki radni dan podijeljen s brojem radnih dana u periodu obračuna,</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obavezna rezerva u KM</w:t>
      </w:r>
      <w:r>
        <w:rPr>
          <w:rFonts w:ascii="Times New Roman" w:hAnsi="Times New Roman"/>
          <w:sz w:val="24"/>
          <w:szCs w:val="24"/>
        </w:rPr>
        <w:t xml:space="preserve"> banke izračunava se množenjem osnovice za obračun obavezne rezerve u domaćoj valuti s odgovarajućom stopom obavezne rezerve i predstavlja minimalan iznos sredstava koje banka mora kao prosječne dnevne rezerve u periodu održavanja držati na računu rezervi u KM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obavezna rezerva u EUR</w:t>
      </w:r>
      <w:r>
        <w:rPr>
          <w:rFonts w:ascii="Times New Roman" w:hAnsi="Times New Roman"/>
          <w:sz w:val="24"/>
          <w:szCs w:val="24"/>
        </w:rPr>
        <w:t xml:space="preserve"> banke izračunava se množenjem devizne osnovice za obračun obavezne rezerve s odgovarajućom stopom obavezne rezerve i predstavlja minimalan iznos sredstava koje banka mora kao prosječne dnevne rezerve u periodu održavanja držati na računu rezervi u EUR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održavanje obavezne rezerve</w:t>
      </w:r>
      <w:r>
        <w:rPr>
          <w:rFonts w:ascii="Times New Roman" w:hAnsi="Times New Roman"/>
          <w:sz w:val="24"/>
          <w:szCs w:val="24"/>
        </w:rPr>
        <w:t xml:space="preserve"> – držanje propisanog nivoa novčanih depozita na računu rezervi u KM i na računu rezervi u EUR kod Centralne banke, a koji se obračunavaju kao prosječne dnevne rezerve u obračunskom periodu,</w:t>
      </w:r>
    </w:p>
    <w:p>
      <w:pPr>
        <w:pStyle w:val="ListParagraph"/>
        <w:numPr>
          <w:ilvl w:val="0"/>
          <w:numId w:val="2"/>
        </w:numPr>
        <w:spacing w:after="0" w:line="240" w:lineRule="auto"/>
        <w:jc w:val="both"/>
        <w:rPr>
          <w:rFonts w:ascii="Times New Roman" w:hAnsi="Times New Roman"/>
          <w:bCs/>
          <w:sz w:val="24"/>
          <w:szCs w:val="24"/>
        </w:rPr>
      </w:pPr>
      <w:r>
        <w:rPr>
          <w:rFonts w:ascii="Times New Roman" w:hAnsi="Times New Roman"/>
          <w:b/>
          <w:sz w:val="24"/>
          <w:szCs w:val="24"/>
        </w:rPr>
        <w:t>ispunjavanje obavezne rezerve</w:t>
      </w:r>
      <w:r>
        <w:rPr>
          <w:rFonts w:ascii="Times New Roman" w:hAnsi="Times New Roman"/>
          <w:sz w:val="24"/>
          <w:szCs w:val="24"/>
        </w:rPr>
        <w:t xml:space="preserve"> – ispunjavanje svih uslova koje je postavila Centralna banka za održavanje obavezne rezerve u pogledu obezbjeđenja zahtijevanog iznosa sredstava rezervi, dostavljanja propisanih izvještaja u propisanim rokovima</w:t>
      </w:r>
      <w:r>
        <w:rPr>
          <w:rFonts w:ascii="Times New Roman" w:hAnsi="Times New Roman"/>
          <w:bCs/>
          <w:sz w:val="24"/>
          <w:szCs w:val="24"/>
        </w:rPr>
        <w:t>,</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obavezne rezerve </w:t>
      </w:r>
      <w:r>
        <w:rPr>
          <w:rFonts w:ascii="Times New Roman" w:hAnsi="Times New Roman"/>
          <w:sz w:val="24"/>
          <w:szCs w:val="24"/>
        </w:rPr>
        <w:t xml:space="preserve">– </w:t>
      </w:r>
      <w:r>
        <w:rPr>
          <w:rFonts w:ascii="Times New Roman" w:hAnsi="Times New Roman"/>
          <w:bCs/>
          <w:sz w:val="24"/>
          <w:szCs w:val="24"/>
        </w:rPr>
        <w:t xml:space="preserve">procenat koji se primjenjuje na osnovicu za utvrđivanje </w:t>
      </w:r>
      <w:r>
        <w:rPr>
          <w:rFonts w:ascii="Times New Roman" w:hAnsi="Times New Roman"/>
          <w:sz w:val="24"/>
          <w:szCs w:val="24"/>
        </w:rPr>
        <w:t>i</w:t>
      </w:r>
      <w:r>
        <w:rPr>
          <w:rFonts w:ascii="Times New Roman" w:hAnsi="Times New Roman"/>
          <w:bCs/>
          <w:sz w:val="24"/>
          <w:szCs w:val="24"/>
        </w:rPr>
        <w:t>znosa obavezne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period obračuna obaveznih rezervi</w:t>
      </w:r>
      <w:r>
        <w:rPr>
          <w:rFonts w:ascii="Times New Roman" w:hAnsi="Times New Roman"/>
          <w:sz w:val="24"/>
          <w:szCs w:val="24"/>
        </w:rPr>
        <w:t xml:space="preserve"> – period održavanja obaveznih rezervi koji prethodi održavanju obaveznih rezervi, za koji se dostavljaju podaci o osnovici za utvrđivanje obavezne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period održavanja obavezne rezerve </w:t>
      </w:r>
      <w:r>
        <w:rPr>
          <w:rFonts w:ascii="Times New Roman" w:hAnsi="Times New Roman"/>
          <w:sz w:val="24"/>
          <w:szCs w:val="24"/>
        </w:rPr>
        <w:t>– period u kojem je banka dužna održavati obaveznu rezervu, a koji započinje svakog mjeseca u dane prvog, jedanaestog i dvadeset i prvog, a završava se desetog, dvadesetog i posljednjeg dana u mjesecu,</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naknada</w:t>
      </w:r>
      <w:r>
        <w:rPr>
          <w:rFonts w:ascii="Times New Roman" w:hAnsi="Times New Roman"/>
          <w:sz w:val="24"/>
          <w:szCs w:val="24"/>
        </w:rPr>
        <w:t xml:space="preserve"> – kamata koju Centralna banka obračunava na iznos sredstava te banke na računu rezervi u KM i računu rezervi u EUR, kod Centralne banke,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 xml:space="preserve">stopa naknade </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stopa koja se primjenjuje na obaveznu rezervu, odnosno na iznos sredstava iznad obavezne rezerve,</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kaznena kamata za neodržavanje obaveznih rezervi</w:t>
      </w:r>
      <w:r>
        <w:rPr>
          <w:rFonts w:ascii="Times New Roman" w:hAnsi="Times New Roman"/>
          <w:sz w:val="24"/>
          <w:szCs w:val="24"/>
        </w:rPr>
        <w:t xml:space="preserve"> – novčana kazna za banku koja ne održava obavezne rezerve na propisanom nivou,</w:t>
      </w:r>
    </w:p>
    <w:p>
      <w:pPr>
        <w:pStyle w:val="ListParagraph"/>
        <w:numPr>
          <w:ilvl w:val="0"/>
          <w:numId w:val="2"/>
        </w:numPr>
        <w:spacing w:after="0" w:line="240" w:lineRule="auto"/>
        <w:jc w:val="both"/>
        <w:rPr>
          <w:rFonts w:ascii="Times New Roman" w:hAnsi="Times New Roman"/>
          <w:sz w:val="24"/>
          <w:szCs w:val="24"/>
        </w:rPr>
      </w:pPr>
      <w:r>
        <w:rPr>
          <w:rFonts w:ascii="Times New Roman" w:hAnsi="Times New Roman"/>
          <w:b/>
          <w:sz w:val="24"/>
          <w:szCs w:val="24"/>
        </w:rPr>
        <w:t>radni dan</w:t>
      </w:r>
      <w:r>
        <w:rPr>
          <w:rFonts w:ascii="Times New Roman" w:hAnsi="Times New Roman"/>
          <w:sz w:val="24"/>
          <w:szCs w:val="24"/>
        </w:rPr>
        <w:t xml:space="preserve"> – svaki dan kada Centralna banka vrši transakcije na računima rezervi,</w:t>
      </w:r>
    </w:p>
    <w:p>
      <w:pPr>
        <w:pStyle w:val="ListParagraph"/>
        <w:numPr>
          <w:ilvl w:val="0"/>
          <w:numId w:val="15"/>
        </w:numPr>
        <w:jc w:val="both"/>
        <w:rPr>
          <w:rFonts w:ascii="Times New Roman" w:hAnsi="Times New Roman"/>
          <w:sz w:val="24"/>
          <w:szCs w:val="24"/>
        </w:rPr>
      </w:pPr>
      <w:r>
        <w:rPr>
          <w:rFonts w:ascii="Times New Roman" w:hAnsi="Times New Roman"/>
          <w:b/>
          <w:sz w:val="24"/>
          <w:szCs w:val="24"/>
        </w:rPr>
        <w:t>ukupna obavezna rezerva u KM</w:t>
      </w:r>
      <w:r>
        <w:rPr>
          <w:rFonts w:ascii="Times New Roman" w:hAnsi="Times New Roman"/>
          <w:sz w:val="24"/>
          <w:szCs w:val="24"/>
        </w:rPr>
        <w:t xml:space="preserve"> banke predstavlja zbir prosječnih dnevnih obaveznih rezervi u KM za radne dane u toku perioda održavanja,</w:t>
      </w:r>
    </w:p>
    <w:p>
      <w:pPr>
        <w:pStyle w:val="ListParagraph"/>
        <w:numPr>
          <w:ilvl w:val="0"/>
          <w:numId w:val="15"/>
        </w:numPr>
        <w:spacing w:after="0" w:line="240" w:lineRule="auto"/>
        <w:jc w:val="both"/>
        <w:rPr>
          <w:rFonts w:ascii="Times New Roman" w:hAnsi="Times New Roman"/>
          <w:sz w:val="24"/>
          <w:szCs w:val="24"/>
        </w:rPr>
      </w:pPr>
      <w:r>
        <w:rPr>
          <w:rFonts w:ascii="Times New Roman" w:hAnsi="Times New Roman"/>
          <w:b/>
          <w:sz w:val="24"/>
          <w:szCs w:val="24"/>
        </w:rPr>
        <w:t>ukupna obavezna rezerva u EUR</w:t>
      </w:r>
      <w:r>
        <w:rPr>
          <w:rFonts w:ascii="Times New Roman" w:hAnsi="Times New Roman"/>
          <w:sz w:val="24"/>
          <w:szCs w:val="24"/>
        </w:rPr>
        <w:t xml:space="preserve"> banke predstavlja zbir prosječnih dnevnih obaveznih rezervi u EUR za radne dane u toku perioda održavanja,</w:t>
      </w:r>
    </w:p>
    <w:p>
      <w:pPr>
        <w:pStyle w:val="ListParagraph"/>
        <w:numPr>
          <w:ilvl w:val="0"/>
          <w:numId w:val="15"/>
        </w:numPr>
        <w:spacing w:after="0" w:line="240" w:lineRule="auto"/>
        <w:jc w:val="both"/>
        <w:rPr>
          <w:rFonts w:ascii="Times New Roman" w:hAnsi="Times New Roman"/>
          <w:sz w:val="24"/>
          <w:szCs w:val="24"/>
        </w:rPr>
      </w:pPr>
      <w:r>
        <w:rPr>
          <w:rFonts w:ascii="Times New Roman" w:hAnsi="Times New Roman"/>
          <w:b/>
          <w:sz w:val="24"/>
          <w:szCs w:val="24"/>
        </w:rPr>
        <w:t>rezidualni rok dospijeća</w:t>
      </w:r>
      <w:r>
        <w:rPr>
          <w:rFonts w:ascii="Times New Roman" w:hAnsi="Times New Roman"/>
          <w:sz w:val="24"/>
          <w:szCs w:val="24"/>
        </w:rPr>
        <w:t xml:space="preserve"> predstavlja preostali rok do dospijeća obaveza, što podrazumijeva da se depoziti i pozajmljena sredstva s ročnošću „do jedne godine“ i „preko jedne godine“ u „Izvještaj za obračun obavezne rezerve“ trebaju evidentirati prema preostalom roku do dospijeća obaveza.</w:t>
      </w:r>
    </w:p>
    <w:p>
      <w:pPr>
        <w:jc w:val="both"/>
        <w:rPr>
          <w:lang w:val="bs-Latn-BA"/>
        </w:rPr>
      </w:pPr>
    </w:p>
    <w:p>
      <w:pPr>
        <w:jc w:val="center"/>
        <w:rPr>
          <w:b/>
          <w:lang w:val="bs-Latn-BA"/>
        </w:rPr>
      </w:pPr>
      <w:r>
        <w:rPr>
          <w:b/>
          <w:lang w:val="bs-Latn-BA"/>
        </w:rPr>
        <w:t>Član 12.</w:t>
      </w:r>
    </w:p>
    <w:p>
      <w:pPr>
        <w:jc w:val="both"/>
        <w:rPr>
          <w:lang w:val="bs-Latn-BA"/>
        </w:rPr>
      </w:pPr>
      <w:r>
        <w:rPr>
          <w:lang w:val="bs-Latn-BA"/>
        </w:rPr>
        <w:t xml:space="preserve">(1) U prelaznom periodu od 1. 1. 2024. do 31. 12. 2026. godine (u daljnjem tekstu: prelazni period) banka će obračunatu obaveznu rezervu u EUR održavati držanjem 95% KM </w:t>
      </w:r>
      <w:r>
        <w:rPr>
          <w:lang w:val="bs-Latn-BA"/>
        </w:rPr>
        <w:lastRenderedPageBreak/>
        <w:t>protuvrijednosti obračunate obavezne rezerve u EUR na računu rezervi u KM i držanjem 5% obračunate obavezne rezerve u EUR na računu rezervi u EUR.</w:t>
      </w:r>
    </w:p>
    <w:p>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 Centralna banka će tokom prelaznog perioda:</w:t>
      </w:r>
    </w:p>
    <w:p>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na dio sredstava obavezne rezerve u EUR koji banka u skladu sa stavom (1) ovog člana drži na računu rezervi u KM obračunati naknadu po pripadajućoj stopi koja se odnosi na sredstva obavezne rezerve u EUR iz člana 7. stav (2) tačke a) ove odluke, a</w:t>
      </w:r>
    </w:p>
    <w:p>
      <w:pPr>
        <w:pStyle w:val="ListParagraph"/>
        <w:numPr>
          <w:ilvl w:val="0"/>
          <w:numId w:val="17"/>
        </w:numPr>
        <w:spacing w:after="0" w:line="240" w:lineRule="auto"/>
        <w:jc w:val="both"/>
        <w:rPr>
          <w:rFonts w:ascii="Times New Roman" w:hAnsi="Times New Roman"/>
          <w:sz w:val="24"/>
          <w:szCs w:val="24"/>
        </w:rPr>
      </w:pPr>
      <w:r>
        <w:rPr>
          <w:rFonts w:ascii="Times New Roman" w:hAnsi="Times New Roman"/>
          <w:sz w:val="24"/>
          <w:szCs w:val="24"/>
        </w:rPr>
        <w:t>na sredstva iznad obavezne rezerve na računu rezervi u KM, odnosno na računu rezervi u EUR obračunati naknadu po pripadajućim stopama iz člana 7. stav (1) tačke b) ove odluke, odnosno iz člana 7. stav (2) tačke b) ove odluke.</w:t>
      </w:r>
    </w:p>
    <w:p>
      <w:pPr>
        <w:jc w:val="both"/>
        <w:rPr>
          <w:lang w:val="bs-Latn-BA"/>
        </w:rPr>
      </w:pPr>
      <w:r>
        <w:rPr>
          <w:lang w:val="bs-Latn-BA"/>
        </w:rPr>
        <w:t>(3) Tokom prelaznog perioda:</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obavezna rezerva u EUR banke izračunava se množenjem devizne osnovice za obračun obavezne rezerve s odgovarajućom stopom obavezne rezerve i predstavlja minimalan iznos sredstava koje banka mora kao prosječne dnevne rezerve u periodu održavanja, držati na računu rezervi u EUR </w:t>
      </w:r>
      <w:r>
        <w:rPr>
          <w:rFonts w:ascii="Times New Roman" w:eastAsia="Times New Roman" w:hAnsi="Times New Roman"/>
          <w:sz w:val="24"/>
          <w:szCs w:val="24"/>
        </w:rPr>
        <w:t>i na računu rezervi u KM</w:t>
      </w:r>
      <w:r>
        <w:rPr>
          <w:rFonts w:ascii="Times New Roman" w:hAnsi="Times New Roman"/>
          <w:sz w:val="24"/>
          <w:szCs w:val="24"/>
        </w:rPr>
        <w:t xml:space="preserve"> kod Centralne banke</w:t>
      </w:r>
      <w:r>
        <w:rPr>
          <w:rFonts w:ascii="Times New Roman" w:eastAsia="Times New Roman" w:hAnsi="Times New Roman"/>
          <w:sz w:val="24"/>
          <w:szCs w:val="24"/>
        </w:rPr>
        <w:t>;</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ukupna obavezna rezerva na računu rezervi u KM banke predstavlja zbir prosječnih dnevnih obaveznih rezervi u KM i dijela prosječnih dnevnih obaveznih rezervi u EUR utvrđenog na način propisan stavom (1) ovog člana za radne dane u toku perioda održavanja</w:t>
      </w:r>
      <w:r>
        <w:rPr>
          <w:rFonts w:ascii="Times New Roman" w:eastAsia="Times New Roman" w:hAnsi="Times New Roman"/>
          <w:sz w:val="24"/>
          <w:szCs w:val="24"/>
        </w:rPr>
        <w:t>;</w:t>
      </w:r>
    </w:p>
    <w:p>
      <w:pPr>
        <w:pStyle w:val="ListParagraph"/>
        <w:numPr>
          <w:ilvl w:val="0"/>
          <w:numId w:val="16"/>
        </w:numPr>
        <w:spacing w:after="0" w:line="240" w:lineRule="auto"/>
        <w:jc w:val="both"/>
        <w:rPr>
          <w:rFonts w:ascii="Times New Roman" w:eastAsia="Times New Roman" w:hAnsi="Times New Roman"/>
          <w:sz w:val="24"/>
          <w:szCs w:val="24"/>
        </w:rPr>
      </w:pPr>
      <w:r>
        <w:rPr>
          <w:rFonts w:ascii="Times New Roman" w:hAnsi="Times New Roman"/>
          <w:sz w:val="24"/>
          <w:szCs w:val="24"/>
        </w:rPr>
        <w:t>ukupna obavezna rezerva na računu rezervi u EUR banke predstavlja zbir dijela prosječnih dnevnih obaveznih rezervi u EUR utvrđenog na način propisan stavom (1) ovog člana za radne dane u toku perioda održavanja.</w:t>
      </w:r>
    </w:p>
    <w:p>
      <w:pPr>
        <w:jc w:val="both"/>
        <w:rPr>
          <w:lang w:val="bs-Latn-BA"/>
        </w:rPr>
      </w:pPr>
    </w:p>
    <w:p>
      <w:pPr>
        <w:jc w:val="center"/>
        <w:rPr>
          <w:b/>
          <w:lang w:val="bs-Latn-BA"/>
        </w:rPr>
      </w:pPr>
      <w:r>
        <w:rPr>
          <w:b/>
          <w:lang w:val="bs-Latn-BA"/>
        </w:rPr>
        <w:t>Član 13.</w:t>
      </w:r>
    </w:p>
    <w:p>
      <w:pPr>
        <w:jc w:val="both"/>
        <w:rPr>
          <w:lang w:val="bs-Latn-BA"/>
        </w:rPr>
      </w:pPr>
      <w:r>
        <w:rPr>
          <w:lang w:val="bs-Latn-BA"/>
        </w:rPr>
        <w:t>Ovlašćuje se guverner Centralne banke da donese propis za primjenu ove odluke.</w:t>
      </w:r>
    </w:p>
    <w:p>
      <w:pPr>
        <w:jc w:val="both"/>
        <w:rPr>
          <w:lang w:val="bs-Latn-BA"/>
        </w:rPr>
      </w:pPr>
    </w:p>
    <w:p>
      <w:pPr>
        <w:jc w:val="center"/>
        <w:rPr>
          <w:b/>
          <w:lang w:val="bs-Latn-BA"/>
        </w:rPr>
      </w:pPr>
      <w:r>
        <w:rPr>
          <w:b/>
          <w:lang w:val="bs-Latn-BA"/>
        </w:rPr>
        <w:t>Član 14.</w:t>
      </w:r>
    </w:p>
    <w:p>
      <w:pPr>
        <w:jc w:val="both"/>
        <w:rPr>
          <w:lang w:val="bs-Latn-BA"/>
        </w:rPr>
      </w:pPr>
      <w:r>
        <w:rPr>
          <w:lang w:val="bs-Latn-BA"/>
        </w:rPr>
        <w:t>Danom stupanja na snagu ove odluke prestaje da važi Odluka o utvrđivanju i održavanju obaveznih rezervi i utvrđivanju naknade na iznos rezerve („Službeni glasnik BiH“, br. 70/21, 53/22, 81/22, 43/23, 61/23, 54/24, 77/24, 16/25, 54/25 i 73/25).</w:t>
      </w:r>
    </w:p>
    <w:p>
      <w:pPr>
        <w:jc w:val="both"/>
        <w:rPr>
          <w:lang w:val="bs-Latn-BA"/>
        </w:rPr>
      </w:pPr>
    </w:p>
    <w:p>
      <w:pPr>
        <w:pStyle w:val="BodyText"/>
        <w:jc w:val="center"/>
        <w:rPr>
          <w:rFonts w:ascii="Times New Roman" w:hAnsi="Times New Roman"/>
          <w:b/>
          <w:bCs/>
          <w:szCs w:val="24"/>
          <w:lang w:val="bs-Latn-BA"/>
        </w:rPr>
      </w:pPr>
      <w:r>
        <w:rPr>
          <w:rFonts w:ascii="Times New Roman" w:hAnsi="Times New Roman"/>
          <w:b/>
          <w:szCs w:val="24"/>
          <w:lang w:val="bs-Latn-BA"/>
        </w:rPr>
        <w:t>Član 15.</w:t>
      </w:r>
    </w:p>
    <w:p>
      <w:pPr>
        <w:pStyle w:val="BodyText"/>
        <w:tabs>
          <w:tab w:val="left" w:pos="9350"/>
        </w:tabs>
        <w:ind w:right="-103"/>
        <w:jc w:val="both"/>
        <w:rPr>
          <w:rFonts w:ascii="Times New Roman" w:hAnsi="Times New Roman"/>
          <w:szCs w:val="24"/>
          <w:lang w:val="bs-Latn-BA"/>
        </w:rPr>
      </w:pPr>
      <w:r>
        <w:rPr>
          <w:rFonts w:ascii="Times New Roman" w:hAnsi="Times New Roman"/>
          <w:szCs w:val="24"/>
          <w:lang w:val="bs-Latn-BA"/>
        </w:rPr>
        <w:t>(1) Ova odluka stupa na snagu osmog dana od dana objavljivanja u „Službenom glasniku BiH“.</w:t>
      </w:r>
    </w:p>
    <w:p>
      <w:pPr>
        <w:jc w:val="both"/>
        <w:rPr>
          <w:lang w:val="bs-Latn-BA"/>
        </w:rPr>
      </w:pPr>
      <w:r>
        <w:rPr>
          <w:lang w:val="bs-Latn-BA"/>
        </w:rPr>
        <w:t>(2) Ova odluka će se objaviti i u „Službenim novinama Federacije Bosne i Hercegovine“, „Službenom glasniku Republike Srpske“ i „Službenom glasniku Brčko distrikta Bosne i Hercegovine“.</w:t>
      </w:r>
    </w:p>
    <w:p>
      <w:pPr>
        <w:rPr>
          <w:lang w:val="bs-Latn-BA"/>
        </w:rPr>
      </w:pPr>
    </w:p>
    <w:p>
      <w:pPr>
        <w:jc w:val="both"/>
        <w:rPr>
          <w:b/>
          <w:bCs/>
          <w:lang w:val="bs-Latn-BA"/>
        </w:rPr>
      </w:pPr>
    </w:p>
    <w:p>
      <w:pPr>
        <w:jc w:val="both"/>
        <w:rPr>
          <w:b/>
          <w:bCs/>
          <w:lang w:val="bs-Latn-BA"/>
        </w:rPr>
      </w:pPr>
    </w:p>
    <w:p>
      <w:pPr>
        <w:tabs>
          <w:tab w:val="center" w:pos="7088"/>
        </w:tabs>
        <w:rPr>
          <w:b/>
          <w:bCs/>
          <w:lang w:val="bs-Latn-BA"/>
        </w:rPr>
      </w:pPr>
      <w:r>
        <w:rPr>
          <w:bCs/>
          <w:lang w:val="bs-Latn-BA"/>
        </w:rPr>
        <w:tab/>
      </w:r>
      <w:r>
        <w:rPr>
          <w:b/>
          <w:bCs/>
          <w:lang w:val="bs-Latn-BA"/>
        </w:rPr>
        <w:t>Predsjedavajuća</w:t>
      </w:r>
    </w:p>
    <w:p>
      <w:pPr>
        <w:tabs>
          <w:tab w:val="center" w:pos="7088"/>
        </w:tabs>
        <w:rPr>
          <w:b/>
          <w:bCs/>
          <w:lang w:val="bs-Latn-BA"/>
        </w:rPr>
      </w:pPr>
      <w:r>
        <w:rPr>
          <w:b/>
          <w:bCs/>
          <w:lang w:val="bs-Latn-BA"/>
        </w:rPr>
        <w:tab/>
        <w:t>Upravnog vijeća Centralne banke</w:t>
      </w:r>
    </w:p>
    <w:p>
      <w:pPr>
        <w:tabs>
          <w:tab w:val="center" w:pos="7088"/>
        </w:tabs>
        <w:rPr>
          <w:bCs/>
          <w:lang w:val="bs-Latn-BA"/>
        </w:rPr>
      </w:pPr>
      <w:r>
        <w:rPr>
          <w:lang w:val="bs-Latn-BA"/>
        </w:rPr>
        <w:t xml:space="preserve">Broj: </w:t>
      </w:r>
      <w:r>
        <w:rPr>
          <w:lang w:val="bs-Latn-BA"/>
        </w:rPr>
        <w:t>UV-122-02-1-242-10/26</w:t>
      </w:r>
      <w:bookmarkStart w:id="1" w:name="_GoBack"/>
      <w:bookmarkEnd w:id="1"/>
      <w:r>
        <w:rPr>
          <w:lang w:val="bs-Latn-BA"/>
        </w:rPr>
        <w:tab/>
      </w:r>
      <w:r>
        <w:rPr>
          <w:b/>
          <w:bCs/>
          <w:lang w:val="bs-Latn-BA"/>
        </w:rPr>
        <w:t>Bosne i Hercegovine</w:t>
      </w:r>
    </w:p>
    <w:p>
      <w:pPr>
        <w:tabs>
          <w:tab w:val="center" w:pos="7088"/>
        </w:tabs>
        <w:rPr>
          <w:bCs/>
          <w:lang w:val="bs-Latn-BA"/>
        </w:rPr>
      </w:pPr>
      <w:r>
        <w:rPr>
          <w:lang w:val="bs-Latn-BA"/>
        </w:rPr>
        <w:t xml:space="preserve">Sarajevo, </w:t>
      </w:r>
      <w:r>
        <w:rPr>
          <w:color w:val="000000"/>
          <w:lang w:val="bs-Latn-BA"/>
        </w:rPr>
        <w:t xml:space="preserve">29.01.2026. </w:t>
      </w:r>
      <w:r>
        <w:rPr>
          <w:lang w:val="bs-Latn-BA"/>
        </w:rPr>
        <w:t>godine</w:t>
      </w:r>
    </w:p>
    <w:p>
      <w:pPr>
        <w:tabs>
          <w:tab w:val="center" w:pos="7088"/>
        </w:tabs>
        <w:rPr>
          <w:b/>
          <w:bCs/>
          <w:lang w:val="bs-Latn-BA"/>
        </w:rPr>
      </w:pPr>
      <w:r>
        <w:rPr>
          <w:bCs/>
          <w:lang w:val="bs-Latn-BA"/>
        </w:rPr>
        <w:tab/>
      </w:r>
      <w:r>
        <w:rPr>
          <w:b/>
          <w:lang w:val="bs-Latn-BA"/>
        </w:rPr>
        <w:t>GUVERNERKA</w:t>
      </w:r>
    </w:p>
    <w:p>
      <w:pPr>
        <w:tabs>
          <w:tab w:val="center" w:pos="7088"/>
        </w:tabs>
        <w:rPr>
          <w:b/>
          <w:bCs/>
          <w:lang w:val="bs-Latn-BA"/>
        </w:rPr>
      </w:pPr>
      <w:r>
        <w:rPr>
          <w:b/>
          <w:bCs/>
          <w:lang w:val="bs-Latn-BA"/>
        </w:rPr>
        <w:tab/>
        <w:t>dr. Jasmina Selimović</w:t>
      </w:r>
    </w:p>
    <w:p>
      <w:pPr>
        <w:jc w:val="both"/>
        <w:rPr>
          <w:rFonts w:eastAsiaTheme="minorHAnsi"/>
          <w:lang w:val="bs-Latn-BA"/>
        </w:rPr>
      </w:pPr>
    </w:p>
    <w:p>
      <w:pPr>
        <w:jc w:val="both"/>
        <w:rPr>
          <w:rFonts w:eastAsiaTheme="minorHAnsi"/>
          <w:lang w:val="bs-Latn-BA"/>
        </w:rPr>
      </w:pPr>
    </w:p>
    <w:p>
      <w:pPr>
        <w:spacing w:after="160" w:line="259" w:lineRule="auto"/>
        <w:rPr>
          <w:rFonts w:eastAsiaTheme="minorHAnsi"/>
          <w:lang w:val="bs-Latn-BA"/>
        </w:rPr>
        <w:sectPr>
          <w:footerReference w:type="default" r:id="rId7"/>
          <w:pgSz w:w="11906" w:h="16838" w:code="9"/>
          <w:pgMar w:top="1440" w:right="1440" w:bottom="1440" w:left="1440" w:header="708" w:footer="708" w:gutter="0"/>
          <w:cols w:space="708"/>
          <w:docGrid w:linePitch="360"/>
        </w:sectPr>
      </w:pPr>
    </w:p>
    <w:tbl>
      <w:tblPr>
        <w:tblStyle w:val="TableGrid11"/>
        <w:tblW w:w="10779" w:type="dxa"/>
        <w:jc w:val="center"/>
        <w:tblLook w:val="04A0" w:firstRow="1" w:lastRow="0" w:firstColumn="1" w:lastColumn="0" w:noHBand="0" w:noVBand="1"/>
      </w:tblPr>
      <w:tblGrid>
        <w:gridCol w:w="5387"/>
        <w:gridCol w:w="1417"/>
        <w:gridCol w:w="1417"/>
        <w:gridCol w:w="1271"/>
        <w:gridCol w:w="1276"/>
        <w:gridCol w:w="11"/>
      </w:tblGrid>
      <w:tr>
        <w:trPr>
          <w:trHeight w:val="20"/>
          <w:jc w:val="center"/>
        </w:trPr>
        <w:tc>
          <w:tcPr>
            <w:tcW w:w="10779" w:type="dxa"/>
            <w:gridSpan w:val="6"/>
            <w:tcBorders>
              <w:top w:val="nil"/>
              <w:left w:val="nil"/>
              <w:bottom w:val="nil"/>
              <w:right w:val="nil"/>
            </w:tcBorders>
            <w:noWrap/>
            <w:hideMark/>
          </w:tcPr>
          <w:p>
            <w:pPr>
              <w:jc w:val="both"/>
              <w:rPr>
                <w:b/>
                <w:bCs/>
                <w:sz w:val="20"/>
                <w:szCs w:val="20"/>
                <w:lang w:val="bs-Latn-BA"/>
              </w:rPr>
            </w:pPr>
            <w:bookmarkStart w:id="2" w:name="RANGE!A1:E70"/>
            <w:r>
              <w:rPr>
                <w:b/>
                <w:bCs/>
                <w:sz w:val="20"/>
                <w:szCs w:val="20"/>
                <w:lang w:val="bs-Latn-BA"/>
              </w:rPr>
              <w:lastRenderedPageBreak/>
              <w:t>NAZIV BANKE</w:t>
            </w:r>
            <w:bookmarkEnd w:id="2"/>
          </w:p>
          <w:p>
            <w:pPr>
              <w:jc w:val="both"/>
              <w:rPr>
                <w:b/>
                <w:bCs/>
                <w:sz w:val="20"/>
                <w:szCs w:val="20"/>
                <w:lang w:val="bs-Latn-BA"/>
              </w:rPr>
            </w:pPr>
          </w:p>
          <w:p>
            <w:pPr>
              <w:jc w:val="both"/>
              <w:rPr>
                <w:sz w:val="20"/>
                <w:szCs w:val="20"/>
                <w:lang w:val="bs-Latn-BA"/>
              </w:rPr>
            </w:pPr>
          </w:p>
        </w:tc>
      </w:tr>
      <w:tr>
        <w:trPr>
          <w:trHeight w:val="20"/>
          <w:jc w:val="center"/>
        </w:trPr>
        <w:tc>
          <w:tcPr>
            <w:tcW w:w="10779" w:type="dxa"/>
            <w:gridSpan w:val="6"/>
            <w:tcBorders>
              <w:top w:val="nil"/>
              <w:left w:val="nil"/>
              <w:bottom w:val="nil"/>
              <w:right w:val="nil"/>
            </w:tcBorders>
            <w:vAlign w:val="center"/>
            <w:hideMark/>
          </w:tcPr>
          <w:p>
            <w:pPr>
              <w:jc w:val="center"/>
              <w:rPr>
                <w:b/>
                <w:bCs/>
                <w:sz w:val="20"/>
                <w:szCs w:val="20"/>
                <w:lang w:val="bs-Latn-BA"/>
              </w:rPr>
            </w:pPr>
            <w:r>
              <w:rPr>
                <w:b/>
                <w:bCs/>
                <w:sz w:val="20"/>
                <w:szCs w:val="20"/>
                <w:lang w:val="bs-Latn-BA"/>
              </w:rPr>
              <w:t>IZVJEŠTAJ ZA OBRAČUN OBAVEZNE REZERVE</w:t>
            </w:r>
          </w:p>
        </w:tc>
      </w:tr>
      <w:tr>
        <w:trPr>
          <w:trHeight w:val="20"/>
          <w:jc w:val="center"/>
        </w:trPr>
        <w:tc>
          <w:tcPr>
            <w:tcW w:w="10779" w:type="dxa"/>
            <w:gridSpan w:val="6"/>
            <w:tcBorders>
              <w:top w:val="nil"/>
              <w:left w:val="nil"/>
              <w:bottom w:val="nil"/>
              <w:right w:val="nil"/>
            </w:tcBorders>
            <w:vAlign w:val="center"/>
            <w:hideMark/>
          </w:tcPr>
          <w:p>
            <w:pPr>
              <w:jc w:val="center"/>
              <w:rPr>
                <w:sz w:val="20"/>
                <w:szCs w:val="20"/>
                <w:lang w:val="bs-Latn-BA"/>
              </w:rPr>
            </w:pPr>
            <w:r>
              <w:rPr>
                <w:sz w:val="20"/>
                <w:szCs w:val="20"/>
                <w:lang w:val="bs-Latn-BA"/>
              </w:rPr>
              <w:t>za period od ................. do .................</w:t>
            </w:r>
          </w:p>
          <w:p>
            <w:pPr>
              <w:jc w:val="center"/>
              <w:rPr>
                <w:sz w:val="20"/>
                <w:szCs w:val="20"/>
                <w:lang w:val="bs-Latn-BA"/>
              </w:rPr>
            </w:pPr>
          </w:p>
          <w:p>
            <w:pPr>
              <w:jc w:val="center"/>
              <w:rPr>
                <w:sz w:val="20"/>
                <w:szCs w:val="20"/>
                <w:lang w:val="bs-Latn-BA"/>
              </w:rPr>
            </w:pPr>
          </w:p>
        </w:tc>
      </w:tr>
      <w:tr>
        <w:trPr>
          <w:trHeight w:val="317"/>
          <w:jc w:val="center"/>
        </w:trPr>
        <w:tc>
          <w:tcPr>
            <w:tcW w:w="10779" w:type="dxa"/>
            <w:gridSpan w:val="6"/>
            <w:tcBorders>
              <w:top w:val="nil"/>
              <w:left w:val="nil"/>
              <w:bottom w:val="single" w:sz="4" w:space="0" w:color="auto"/>
              <w:right w:val="nil"/>
            </w:tcBorders>
            <w:vAlign w:val="center"/>
            <w:hideMark/>
          </w:tcPr>
          <w:p>
            <w:pPr>
              <w:jc w:val="both"/>
              <w:rPr>
                <w:sz w:val="20"/>
                <w:szCs w:val="20"/>
                <w:lang w:val="bs-Latn-BA"/>
              </w:rPr>
            </w:pPr>
            <w:r>
              <w:rPr>
                <w:sz w:val="20"/>
                <w:szCs w:val="20"/>
                <w:lang w:val="bs-Latn-BA"/>
              </w:rPr>
              <w:t>Broj radnih dana u periodu .................</w:t>
            </w:r>
          </w:p>
        </w:tc>
      </w:tr>
      <w:tr>
        <w:trPr>
          <w:gridAfter w:val="1"/>
          <w:wAfter w:w="11" w:type="dxa"/>
          <w:jc w:val="center"/>
        </w:trPr>
        <w:tc>
          <w:tcPr>
            <w:tcW w:w="5387" w:type="dxa"/>
            <w:tcBorders>
              <w:top w:val="single" w:sz="4" w:space="0" w:color="auto"/>
            </w:tcBorders>
            <w:vAlign w:val="center"/>
            <w:hideMark/>
          </w:tcPr>
          <w:p>
            <w:pPr>
              <w:jc w:val="center"/>
              <w:rPr>
                <w:b/>
                <w:bCs/>
                <w:sz w:val="20"/>
                <w:szCs w:val="20"/>
                <w:lang w:val="bs-Latn-BA"/>
              </w:rPr>
            </w:pPr>
            <w:bookmarkStart w:id="3" w:name="_Hlk205294545"/>
            <w:r>
              <w:rPr>
                <w:b/>
                <w:bCs/>
                <w:sz w:val="20"/>
                <w:szCs w:val="20"/>
                <w:lang w:val="bs-Latn-BA"/>
              </w:rPr>
              <w:t>OPIS POZICIJA</w:t>
            </w:r>
          </w:p>
        </w:tc>
        <w:tc>
          <w:tcPr>
            <w:tcW w:w="1417" w:type="dxa"/>
            <w:tcBorders>
              <w:top w:val="single" w:sz="4" w:space="0" w:color="auto"/>
              <w:bottom w:val="single" w:sz="4" w:space="0" w:color="auto"/>
            </w:tcBorders>
            <w:vAlign w:val="center"/>
            <w:hideMark/>
          </w:tcPr>
          <w:p>
            <w:pPr>
              <w:jc w:val="center"/>
              <w:rPr>
                <w:sz w:val="20"/>
                <w:szCs w:val="20"/>
                <w:lang w:val="bs-Latn-BA"/>
              </w:rPr>
            </w:pPr>
            <w:r>
              <w:rPr>
                <w:sz w:val="20"/>
                <w:szCs w:val="20"/>
                <w:lang w:val="bs-Latn-BA"/>
              </w:rPr>
              <w:t>Prosječno stanje sredstava u KM (po rezidualnom roku dospijeća)</w:t>
            </w:r>
          </w:p>
        </w:tc>
        <w:tc>
          <w:tcPr>
            <w:tcW w:w="3964" w:type="dxa"/>
            <w:gridSpan w:val="3"/>
            <w:tcBorders>
              <w:top w:val="single" w:sz="4" w:space="0" w:color="auto"/>
              <w:bottom w:val="single" w:sz="4" w:space="0" w:color="auto"/>
            </w:tcBorders>
            <w:vAlign w:val="center"/>
          </w:tcPr>
          <w:p>
            <w:pPr>
              <w:jc w:val="center"/>
              <w:rPr>
                <w:sz w:val="20"/>
                <w:szCs w:val="20"/>
                <w:lang w:val="bs-Latn-BA"/>
              </w:rPr>
            </w:pPr>
            <w:r>
              <w:rPr>
                <w:sz w:val="20"/>
                <w:szCs w:val="20"/>
                <w:lang w:val="bs-Latn-BA"/>
              </w:rPr>
              <w:t xml:space="preserve">Prosječno stanje sredstava u EUR </w:t>
            </w:r>
          </w:p>
          <w:p>
            <w:pPr>
              <w:jc w:val="center"/>
              <w:rPr>
                <w:sz w:val="20"/>
                <w:szCs w:val="20"/>
                <w:lang w:val="bs-Latn-BA"/>
              </w:rPr>
            </w:pPr>
            <w:r>
              <w:rPr>
                <w:sz w:val="20"/>
                <w:szCs w:val="20"/>
                <w:lang w:val="bs-Latn-BA"/>
              </w:rPr>
              <w:t>(po rezidualnom roku dospijeća)</w:t>
            </w:r>
          </w:p>
        </w:tc>
      </w:tr>
      <w:tr>
        <w:trPr>
          <w:gridAfter w:val="1"/>
          <w:wAfter w:w="11" w:type="dxa"/>
          <w:trHeight w:val="20"/>
          <w:jc w:val="center"/>
        </w:trPr>
        <w:tc>
          <w:tcPr>
            <w:tcW w:w="5387" w:type="dxa"/>
            <w:vMerge w:val="restart"/>
            <w:vAlign w:val="center"/>
            <w:hideMark/>
          </w:tcPr>
          <w:p>
            <w:pPr>
              <w:jc w:val="center"/>
              <w:rPr>
                <w:sz w:val="20"/>
                <w:szCs w:val="20"/>
                <w:lang w:val="bs-Latn-BA"/>
              </w:rPr>
            </w:pPr>
            <w:r>
              <w:rPr>
                <w:b/>
                <w:bCs/>
                <w:sz w:val="20"/>
                <w:szCs w:val="20"/>
                <w:lang w:val="bs-Latn-BA"/>
              </w:rPr>
              <w:t>OSNOVICA ZA OBRAČUN OBAVEZNE REZERVE</w:t>
            </w:r>
          </w:p>
        </w:tc>
        <w:tc>
          <w:tcPr>
            <w:tcW w:w="1417" w:type="dxa"/>
            <w:vMerge w:val="restart"/>
            <w:vAlign w:val="center"/>
            <w:hideMark/>
          </w:tcPr>
          <w:p>
            <w:pPr>
              <w:jc w:val="center"/>
              <w:rPr>
                <w:sz w:val="20"/>
                <w:szCs w:val="20"/>
                <w:lang w:val="bs-Latn-BA"/>
              </w:rPr>
            </w:pPr>
            <w:r>
              <w:rPr>
                <w:sz w:val="20"/>
                <w:szCs w:val="20"/>
                <w:lang w:val="bs-Latn-BA"/>
              </w:rPr>
              <w:t>KM</w:t>
            </w:r>
          </w:p>
        </w:tc>
        <w:tc>
          <w:tcPr>
            <w:tcW w:w="3964" w:type="dxa"/>
            <w:gridSpan w:val="3"/>
            <w:vAlign w:val="center"/>
            <w:hideMark/>
          </w:tcPr>
          <w:p>
            <w:pPr>
              <w:jc w:val="center"/>
              <w:rPr>
                <w:sz w:val="20"/>
                <w:szCs w:val="20"/>
                <w:lang w:val="bs-Latn-BA"/>
              </w:rPr>
            </w:pPr>
            <w:r>
              <w:rPr>
                <w:sz w:val="20"/>
                <w:szCs w:val="20"/>
                <w:lang w:val="bs-Latn-BA"/>
              </w:rPr>
              <w:t>Ostale valute</w:t>
            </w:r>
          </w:p>
        </w:tc>
      </w:tr>
      <w:tr>
        <w:trPr>
          <w:gridAfter w:val="1"/>
          <w:wAfter w:w="11" w:type="dxa"/>
          <w:trHeight w:val="20"/>
          <w:jc w:val="center"/>
        </w:trPr>
        <w:tc>
          <w:tcPr>
            <w:tcW w:w="5387" w:type="dxa"/>
            <w:vMerge/>
            <w:vAlign w:val="center"/>
            <w:hideMark/>
          </w:tcPr>
          <w:p>
            <w:pPr>
              <w:jc w:val="center"/>
              <w:rPr>
                <w:b/>
                <w:bCs/>
                <w:sz w:val="20"/>
                <w:szCs w:val="20"/>
                <w:lang w:val="bs-Latn-BA"/>
              </w:rPr>
            </w:pPr>
          </w:p>
        </w:tc>
        <w:tc>
          <w:tcPr>
            <w:tcW w:w="1417" w:type="dxa"/>
            <w:vMerge/>
            <w:noWrap/>
            <w:vAlign w:val="center"/>
            <w:hideMark/>
          </w:tcPr>
          <w:p>
            <w:pPr>
              <w:jc w:val="center"/>
              <w:rPr>
                <w:sz w:val="20"/>
                <w:szCs w:val="20"/>
                <w:lang w:val="bs-Latn-BA"/>
              </w:rPr>
            </w:pPr>
          </w:p>
        </w:tc>
        <w:tc>
          <w:tcPr>
            <w:tcW w:w="1417" w:type="dxa"/>
            <w:vAlign w:val="center"/>
            <w:hideMark/>
          </w:tcPr>
          <w:p>
            <w:pPr>
              <w:jc w:val="center"/>
              <w:rPr>
                <w:sz w:val="19"/>
                <w:szCs w:val="19"/>
                <w:lang w:val="bs-Latn-BA"/>
              </w:rPr>
            </w:pPr>
            <w:r>
              <w:rPr>
                <w:sz w:val="19"/>
                <w:szCs w:val="19"/>
                <w:lang w:val="bs-Latn-BA"/>
              </w:rPr>
              <w:t>KM s valutnom klauzulom izraženo u EUR</w:t>
            </w:r>
          </w:p>
        </w:tc>
        <w:tc>
          <w:tcPr>
            <w:tcW w:w="1271" w:type="dxa"/>
            <w:vAlign w:val="center"/>
            <w:hideMark/>
          </w:tcPr>
          <w:p>
            <w:pPr>
              <w:jc w:val="center"/>
              <w:rPr>
                <w:sz w:val="20"/>
                <w:szCs w:val="20"/>
                <w:lang w:val="bs-Latn-BA"/>
              </w:rPr>
            </w:pPr>
            <w:r>
              <w:rPr>
                <w:sz w:val="20"/>
                <w:szCs w:val="20"/>
                <w:lang w:val="bs-Latn-BA"/>
              </w:rPr>
              <w:t>Strane valute izraženo u EUR</w:t>
            </w:r>
          </w:p>
        </w:tc>
        <w:tc>
          <w:tcPr>
            <w:tcW w:w="1276" w:type="dxa"/>
            <w:vAlign w:val="center"/>
            <w:hideMark/>
          </w:tcPr>
          <w:p>
            <w:pPr>
              <w:jc w:val="center"/>
              <w:rPr>
                <w:sz w:val="20"/>
                <w:szCs w:val="20"/>
                <w:lang w:val="bs-Latn-BA"/>
              </w:rPr>
            </w:pPr>
            <w:r>
              <w:rPr>
                <w:sz w:val="20"/>
                <w:szCs w:val="20"/>
                <w:lang w:val="bs-Latn-BA"/>
              </w:rPr>
              <w:t>Ostale valute ukupno u EUR</w:t>
            </w:r>
          </w:p>
        </w:tc>
      </w:tr>
      <w:tr>
        <w:trPr>
          <w:gridAfter w:val="1"/>
          <w:wAfter w:w="11" w:type="dxa"/>
          <w:trHeight w:val="20"/>
          <w:jc w:val="center"/>
        </w:trPr>
        <w:tc>
          <w:tcPr>
            <w:tcW w:w="5387" w:type="dxa"/>
            <w:vAlign w:val="center"/>
          </w:tcPr>
          <w:p>
            <w:pPr>
              <w:jc w:val="center"/>
              <w:rPr>
                <w:b/>
                <w:bCs/>
                <w:sz w:val="16"/>
                <w:szCs w:val="16"/>
                <w:lang w:val="bs-Latn-BA"/>
              </w:rPr>
            </w:pPr>
          </w:p>
        </w:tc>
        <w:tc>
          <w:tcPr>
            <w:tcW w:w="1417" w:type="dxa"/>
            <w:vAlign w:val="center"/>
          </w:tcPr>
          <w:p>
            <w:pPr>
              <w:jc w:val="center"/>
              <w:rPr>
                <w:sz w:val="16"/>
                <w:szCs w:val="16"/>
                <w:lang w:val="bs-Latn-BA"/>
              </w:rPr>
            </w:pPr>
            <w:r>
              <w:rPr>
                <w:sz w:val="16"/>
                <w:szCs w:val="16"/>
                <w:lang w:val="bs-Latn-BA"/>
              </w:rPr>
              <w:t>1</w:t>
            </w:r>
          </w:p>
        </w:tc>
        <w:tc>
          <w:tcPr>
            <w:tcW w:w="1417" w:type="dxa"/>
            <w:vAlign w:val="center"/>
          </w:tcPr>
          <w:p>
            <w:pPr>
              <w:jc w:val="center"/>
              <w:rPr>
                <w:sz w:val="16"/>
                <w:szCs w:val="16"/>
                <w:lang w:val="bs-Latn-BA"/>
              </w:rPr>
            </w:pPr>
            <w:r>
              <w:rPr>
                <w:sz w:val="16"/>
                <w:szCs w:val="16"/>
                <w:lang w:val="bs-Latn-BA"/>
              </w:rPr>
              <w:t>2</w:t>
            </w:r>
          </w:p>
        </w:tc>
        <w:tc>
          <w:tcPr>
            <w:tcW w:w="1271" w:type="dxa"/>
            <w:vAlign w:val="center"/>
          </w:tcPr>
          <w:p>
            <w:pPr>
              <w:jc w:val="center"/>
              <w:rPr>
                <w:sz w:val="16"/>
                <w:szCs w:val="16"/>
                <w:lang w:val="bs-Latn-BA"/>
              </w:rPr>
            </w:pPr>
            <w:r>
              <w:rPr>
                <w:sz w:val="16"/>
                <w:szCs w:val="16"/>
                <w:lang w:val="bs-Latn-BA"/>
              </w:rPr>
              <w:t>3</w:t>
            </w:r>
          </w:p>
        </w:tc>
        <w:tc>
          <w:tcPr>
            <w:tcW w:w="1276" w:type="dxa"/>
            <w:vAlign w:val="center"/>
          </w:tcPr>
          <w:p>
            <w:pPr>
              <w:jc w:val="center"/>
              <w:rPr>
                <w:sz w:val="16"/>
                <w:szCs w:val="16"/>
                <w:lang w:val="bs-Latn-BA"/>
              </w:rPr>
            </w:pPr>
            <w:r>
              <w:rPr>
                <w:sz w:val="16"/>
                <w:szCs w:val="16"/>
                <w:lang w:val="bs-Latn-BA"/>
              </w:rPr>
              <w:t>4=2+3</w:t>
            </w:r>
          </w:p>
        </w:tc>
      </w:tr>
      <w:bookmarkEnd w:id="3"/>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1 - Depoziti i pozajmljena sredstva od nerezidenata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Do jedne godine</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271" w:type="dxa"/>
            <w:vAlign w:val="center"/>
            <w:hideMark/>
          </w:tcPr>
          <w:p>
            <w:pPr>
              <w:jc w:val="both"/>
              <w:rPr>
                <w:b/>
                <w:bCs/>
                <w:i/>
                <w:iCs/>
                <w:sz w:val="20"/>
                <w:szCs w:val="20"/>
                <w:lang w:val="bs-Latn-BA"/>
              </w:rPr>
            </w:pPr>
            <w:r>
              <w:rPr>
                <w:b/>
                <w:bCs/>
                <w:i/>
                <w:iCs/>
                <w:sz w:val="20"/>
                <w:szCs w:val="20"/>
                <w:lang w:val="bs-Latn-BA"/>
              </w:rPr>
              <w:t> </w:t>
            </w:r>
          </w:p>
        </w:tc>
        <w:tc>
          <w:tcPr>
            <w:tcW w:w="1276" w:type="dxa"/>
            <w:vAlign w:val="center"/>
            <w:hideMark/>
          </w:tcPr>
          <w:p>
            <w:pPr>
              <w:jc w:val="both"/>
              <w:rPr>
                <w:b/>
                <w:bCs/>
                <w:i/>
                <w:iCs/>
                <w:sz w:val="20"/>
                <w:szCs w:val="20"/>
                <w:lang w:val="bs-Latn-BA"/>
              </w:rPr>
            </w:pPr>
            <w:r>
              <w:rPr>
                <w:b/>
                <w:bCs/>
                <w:i/>
                <w:iCs/>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Korespondentski računi nerezidentnih banaka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Kratkoročni depoziti nerezidenata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Kratkoročni krediti od nerezidenata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rPr>
                <w:sz w:val="20"/>
                <w:szCs w:val="20"/>
                <w:lang w:val="bs-Latn-BA"/>
              </w:rPr>
            </w:pPr>
            <w:r>
              <w:rPr>
                <w:sz w:val="20"/>
                <w:szCs w:val="20"/>
                <w:lang w:val="bs-Latn-BA"/>
              </w:rPr>
              <w:t>Kratkoročni vrijednosni papiri kod nerezidenata</w:t>
            </w:r>
          </w:p>
        </w:tc>
        <w:tc>
          <w:tcPr>
            <w:tcW w:w="1417" w:type="dxa"/>
            <w:vAlign w:val="center"/>
          </w:tcPr>
          <w:p>
            <w:pPr>
              <w:jc w:val="both"/>
              <w:rPr>
                <w:b/>
                <w:bCs/>
                <w:i/>
                <w:iCs/>
                <w:sz w:val="20"/>
                <w:szCs w:val="20"/>
                <w:lang w:val="bs-Latn-BA"/>
              </w:rPr>
            </w:pPr>
          </w:p>
        </w:tc>
        <w:tc>
          <w:tcPr>
            <w:tcW w:w="1417" w:type="dxa"/>
            <w:vAlign w:val="center"/>
          </w:tcPr>
          <w:p>
            <w:pPr>
              <w:jc w:val="both"/>
              <w:rPr>
                <w:b/>
                <w:bCs/>
                <w:i/>
                <w:iCs/>
                <w:sz w:val="20"/>
                <w:szCs w:val="20"/>
                <w:lang w:val="bs-Latn-BA"/>
              </w:rPr>
            </w:pPr>
          </w:p>
        </w:tc>
        <w:tc>
          <w:tcPr>
            <w:tcW w:w="1271" w:type="dxa"/>
            <w:vAlign w:val="center"/>
          </w:tcPr>
          <w:p>
            <w:pPr>
              <w:jc w:val="both"/>
              <w:rPr>
                <w:b/>
                <w:bCs/>
                <w:i/>
                <w:iCs/>
                <w:sz w:val="20"/>
                <w:szCs w:val="20"/>
                <w:lang w:val="bs-Latn-BA"/>
              </w:rPr>
            </w:pPr>
          </w:p>
        </w:tc>
        <w:tc>
          <w:tcPr>
            <w:tcW w:w="1276" w:type="dxa"/>
            <w:vAlign w:val="center"/>
          </w:tcPr>
          <w:p>
            <w:pPr>
              <w:jc w:val="both"/>
              <w:rPr>
                <w:b/>
                <w:bCs/>
                <w:i/>
                <w:iCs/>
                <w:sz w:val="20"/>
                <w:szCs w:val="20"/>
                <w:lang w:val="bs-Latn-BA"/>
              </w:rPr>
            </w:pP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Preko jedne godine</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417" w:type="dxa"/>
            <w:vAlign w:val="center"/>
            <w:hideMark/>
          </w:tcPr>
          <w:p>
            <w:pPr>
              <w:jc w:val="both"/>
              <w:rPr>
                <w:b/>
                <w:bCs/>
                <w:i/>
                <w:iCs/>
                <w:sz w:val="20"/>
                <w:szCs w:val="20"/>
                <w:lang w:val="bs-Latn-BA"/>
              </w:rPr>
            </w:pPr>
            <w:r>
              <w:rPr>
                <w:b/>
                <w:bCs/>
                <w:i/>
                <w:iCs/>
                <w:sz w:val="20"/>
                <w:szCs w:val="20"/>
                <w:lang w:val="bs-Latn-BA"/>
              </w:rPr>
              <w:t> </w:t>
            </w:r>
          </w:p>
        </w:tc>
        <w:tc>
          <w:tcPr>
            <w:tcW w:w="1271" w:type="dxa"/>
            <w:vAlign w:val="center"/>
            <w:hideMark/>
          </w:tcPr>
          <w:p>
            <w:pPr>
              <w:jc w:val="both"/>
              <w:rPr>
                <w:b/>
                <w:bCs/>
                <w:i/>
                <w:iCs/>
                <w:sz w:val="20"/>
                <w:szCs w:val="20"/>
                <w:lang w:val="bs-Latn-BA"/>
              </w:rPr>
            </w:pPr>
            <w:r>
              <w:rPr>
                <w:b/>
                <w:bCs/>
                <w:i/>
                <w:iCs/>
                <w:sz w:val="20"/>
                <w:szCs w:val="20"/>
                <w:lang w:val="bs-Latn-BA"/>
              </w:rPr>
              <w:t> </w:t>
            </w:r>
          </w:p>
        </w:tc>
        <w:tc>
          <w:tcPr>
            <w:tcW w:w="1276" w:type="dxa"/>
            <w:vAlign w:val="center"/>
            <w:hideMark/>
          </w:tcPr>
          <w:p>
            <w:pPr>
              <w:jc w:val="both"/>
              <w:rPr>
                <w:b/>
                <w:bCs/>
                <w:i/>
                <w:iCs/>
                <w:sz w:val="20"/>
                <w:szCs w:val="20"/>
                <w:lang w:val="bs-Latn-BA"/>
              </w:rPr>
            </w:pPr>
            <w:r>
              <w:rPr>
                <w:b/>
                <w:bCs/>
                <w:i/>
                <w:iCs/>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Dugoročni depoziti nerezidenata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Dugoročni krediti od nerezidenata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rPr>
                <w:sz w:val="20"/>
                <w:szCs w:val="20"/>
                <w:lang w:val="bs-Latn-BA"/>
              </w:rPr>
            </w:pPr>
            <w:r>
              <w:rPr>
                <w:sz w:val="20"/>
                <w:szCs w:val="20"/>
                <w:lang w:val="bs-Latn-BA"/>
              </w:rPr>
              <w:t>Dugoročni vrijednosni papiri kod nerezidenata</w:t>
            </w:r>
          </w:p>
        </w:tc>
        <w:tc>
          <w:tcPr>
            <w:tcW w:w="1417" w:type="dxa"/>
            <w:vAlign w:val="center"/>
          </w:tcPr>
          <w:p>
            <w:pPr>
              <w:jc w:val="both"/>
              <w:rPr>
                <w:b/>
                <w:bCs/>
                <w:sz w:val="20"/>
                <w:szCs w:val="20"/>
                <w:lang w:val="bs-Latn-BA"/>
              </w:rPr>
            </w:pPr>
          </w:p>
        </w:tc>
        <w:tc>
          <w:tcPr>
            <w:tcW w:w="1417" w:type="dxa"/>
            <w:vAlign w:val="center"/>
          </w:tcPr>
          <w:p>
            <w:pPr>
              <w:jc w:val="both"/>
              <w:rPr>
                <w:b/>
                <w:bCs/>
                <w:sz w:val="20"/>
                <w:szCs w:val="20"/>
                <w:lang w:val="bs-Latn-BA"/>
              </w:rPr>
            </w:pPr>
          </w:p>
        </w:tc>
        <w:tc>
          <w:tcPr>
            <w:tcW w:w="1271" w:type="dxa"/>
            <w:vAlign w:val="center"/>
          </w:tcPr>
          <w:p>
            <w:pPr>
              <w:jc w:val="both"/>
              <w:rPr>
                <w:b/>
                <w:bCs/>
                <w:sz w:val="20"/>
                <w:szCs w:val="20"/>
                <w:lang w:val="bs-Latn-BA"/>
              </w:rPr>
            </w:pPr>
          </w:p>
        </w:tc>
        <w:tc>
          <w:tcPr>
            <w:tcW w:w="1276" w:type="dxa"/>
            <w:vAlign w:val="center"/>
          </w:tcPr>
          <w:p>
            <w:pPr>
              <w:jc w:val="both"/>
              <w:rPr>
                <w:b/>
                <w:bCs/>
                <w:sz w:val="20"/>
                <w:szCs w:val="20"/>
                <w:lang w:val="bs-Latn-BA"/>
              </w:rPr>
            </w:pP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1 -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1a)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1b)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2 - Depoziti po viđenju rezidenata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centralne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opštinskih vlada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Drugi nebankarski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2 -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 xml:space="preserve">3 - Oročeni i štedni depoziti rezidenata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centralne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Depoziti opštinskih vlada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Drugi nebankarski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centralne vlade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entiteta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vlada kantona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 xml:space="preserve">Depoziti opštinskih vlada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Depoziti fondova za socijalno osiguranje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20"/>
                <w:szCs w:val="20"/>
                <w:lang w:val="bs-Latn-BA"/>
              </w:rPr>
              <w:t>Drugi nebankarski domaći sektori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3 - IZNOS UKUPNO</w:t>
            </w:r>
          </w:p>
        </w:tc>
        <w:tc>
          <w:tcPr>
            <w:tcW w:w="1417" w:type="dxa"/>
            <w:vAlign w:val="center"/>
            <w:hideMark/>
          </w:tcPr>
          <w:p>
            <w:pPr>
              <w:jc w:val="both"/>
              <w:rPr>
                <w:b/>
                <w:bCs/>
                <w:sz w:val="20"/>
                <w:szCs w:val="20"/>
                <w:lang w:val="bs-Latn-BA"/>
              </w:rPr>
            </w:pPr>
            <w:r>
              <w:rPr>
                <w:b/>
                <w:bCs/>
                <w:sz w:val="20"/>
                <w:szCs w:val="20"/>
                <w:lang w:val="bs-Latn-BA"/>
              </w:rPr>
              <w:t> </w:t>
            </w:r>
          </w:p>
        </w:tc>
        <w:tc>
          <w:tcPr>
            <w:tcW w:w="1417" w:type="dxa"/>
            <w:vAlign w:val="center"/>
            <w:hideMark/>
          </w:tcPr>
          <w:p>
            <w:pPr>
              <w:jc w:val="both"/>
              <w:rPr>
                <w:b/>
                <w:bCs/>
                <w:sz w:val="20"/>
                <w:szCs w:val="20"/>
                <w:lang w:val="bs-Latn-BA"/>
              </w:rPr>
            </w:pPr>
            <w:r>
              <w:rPr>
                <w:b/>
                <w:bCs/>
                <w:sz w:val="20"/>
                <w:szCs w:val="20"/>
                <w:lang w:val="bs-Latn-BA"/>
              </w:rPr>
              <w:t> </w:t>
            </w:r>
          </w:p>
        </w:tc>
        <w:tc>
          <w:tcPr>
            <w:tcW w:w="1271" w:type="dxa"/>
            <w:vAlign w:val="center"/>
            <w:hideMark/>
          </w:tcPr>
          <w:p>
            <w:pPr>
              <w:jc w:val="both"/>
              <w:rPr>
                <w:b/>
                <w:bCs/>
                <w:sz w:val="20"/>
                <w:szCs w:val="20"/>
                <w:lang w:val="bs-Latn-BA"/>
              </w:rPr>
            </w:pPr>
            <w:r>
              <w:rPr>
                <w:b/>
                <w:bCs/>
                <w:sz w:val="20"/>
                <w:szCs w:val="20"/>
                <w:lang w:val="bs-Latn-BA"/>
              </w:rPr>
              <w:t> </w:t>
            </w:r>
          </w:p>
        </w:tc>
        <w:tc>
          <w:tcPr>
            <w:tcW w:w="1276" w:type="dxa"/>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3a)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3b)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lastRenderedPageBreak/>
              <w:t>4 - Ograničeni depoziti</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 xml:space="preserve">    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4 - IZNOS UKUPNO</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 xml:space="preserve">5 - Vladini fondovi za pozajmljivanje </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 xml:space="preserve">    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right"/>
              <w:rPr>
                <w:b/>
                <w:bCs/>
                <w:sz w:val="20"/>
                <w:szCs w:val="20"/>
                <w:lang w:val="bs-Latn-BA"/>
              </w:rPr>
            </w:pPr>
            <w:r>
              <w:rPr>
                <w:b/>
                <w:bCs/>
                <w:sz w:val="20"/>
                <w:szCs w:val="20"/>
                <w:lang w:val="bs-Latn-BA"/>
              </w:rPr>
              <w:t>5 - IZNOS UKUPNO</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tcPr>
          <w:p>
            <w:pPr>
              <w:jc w:val="both"/>
              <w:rPr>
                <w:b/>
                <w:bCs/>
                <w:sz w:val="20"/>
                <w:szCs w:val="20"/>
                <w:lang w:val="bs-Latn-BA"/>
              </w:rPr>
            </w:pPr>
            <w:r>
              <w:rPr>
                <w:b/>
                <w:bCs/>
                <w:sz w:val="20"/>
                <w:szCs w:val="20"/>
                <w:lang w:val="bs-Latn-BA"/>
              </w:rPr>
              <w:t>6. Vrijednosni papiri kod rezidenata</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center"/>
              <w:rPr>
                <w:b/>
                <w:bCs/>
                <w:sz w:val="20"/>
                <w:szCs w:val="20"/>
                <w:lang w:val="bs-Latn-BA"/>
              </w:rPr>
            </w:pPr>
            <w:r>
              <w:rPr>
                <w:i/>
                <w:iCs/>
                <w:sz w:val="20"/>
                <w:szCs w:val="20"/>
                <w:lang w:val="bs-Latn-BA"/>
              </w:rPr>
              <w:t>a) Do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center"/>
              <w:rPr>
                <w:b/>
                <w:bCs/>
                <w:sz w:val="20"/>
                <w:szCs w:val="20"/>
                <w:lang w:val="bs-Latn-BA"/>
              </w:rPr>
            </w:pPr>
            <w:r>
              <w:rPr>
                <w:i/>
                <w:iCs/>
                <w:sz w:val="20"/>
                <w:szCs w:val="20"/>
                <w:lang w:val="bs-Latn-BA"/>
              </w:rPr>
              <w:t>b) Preko jedne godine</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tcPr>
          <w:p>
            <w:pPr>
              <w:jc w:val="right"/>
              <w:rPr>
                <w:b/>
                <w:bCs/>
                <w:sz w:val="20"/>
                <w:szCs w:val="20"/>
                <w:lang w:val="bs-Latn-BA"/>
              </w:rPr>
            </w:pPr>
            <w:r>
              <w:rPr>
                <w:b/>
                <w:bCs/>
                <w:sz w:val="20"/>
                <w:szCs w:val="20"/>
                <w:lang w:val="bs-Latn-BA"/>
              </w:rPr>
              <w:t>6 - IZNOS UKUPNO</w:t>
            </w:r>
          </w:p>
        </w:tc>
        <w:tc>
          <w:tcPr>
            <w:tcW w:w="1417" w:type="dxa"/>
            <w:vAlign w:val="center"/>
          </w:tcPr>
          <w:p>
            <w:pPr>
              <w:jc w:val="both"/>
              <w:rPr>
                <w:sz w:val="20"/>
                <w:szCs w:val="20"/>
                <w:lang w:val="bs-Latn-BA"/>
              </w:rPr>
            </w:pPr>
          </w:p>
        </w:tc>
        <w:tc>
          <w:tcPr>
            <w:tcW w:w="1417" w:type="dxa"/>
            <w:vAlign w:val="center"/>
          </w:tcPr>
          <w:p>
            <w:pPr>
              <w:jc w:val="both"/>
              <w:rPr>
                <w:sz w:val="20"/>
                <w:szCs w:val="20"/>
                <w:lang w:val="bs-Latn-BA"/>
              </w:rPr>
            </w:pPr>
          </w:p>
        </w:tc>
        <w:tc>
          <w:tcPr>
            <w:tcW w:w="1271" w:type="dxa"/>
            <w:vAlign w:val="center"/>
          </w:tcPr>
          <w:p>
            <w:pPr>
              <w:jc w:val="both"/>
              <w:rPr>
                <w:sz w:val="20"/>
                <w:szCs w:val="20"/>
                <w:lang w:val="bs-Latn-BA"/>
              </w:rPr>
            </w:pPr>
          </w:p>
        </w:tc>
        <w:tc>
          <w:tcPr>
            <w:tcW w:w="1276" w:type="dxa"/>
            <w:vAlign w:val="center"/>
          </w:tcPr>
          <w:p>
            <w:pPr>
              <w:jc w:val="both"/>
              <w:rPr>
                <w:sz w:val="20"/>
                <w:szCs w:val="20"/>
                <w:lang w:val="bs-Latn-BA"/>
              </w:rPr>
            </w:pPr>
          </w:p>
        </w:tc>
      </w:tr>
      <w:tr>
        <w:trPr>
          <w:gridAfter w:val="1"/>
          <w:wAfter w:w="11" w:type="dxa"/>
          <w:trHeight w:val="20"/>
          <w:jc w:val="center"/>
        </w:trPr>
        <w:tc>
          <w:tcPr>
            <w:tcW w:w="5387" w:type="dxa"/>
            <w:vAlign w:val="center"/>
            <w:hideMark/>
          </w:tcPr>
          <w:p>
            <w:pPr>
              <w:jc w:val="both"/>
              <w:rPr>
                <w:b/>
                <w:bCs/>
                <w:sz w:val="20"/>
                <w:szCs w:val="20"/>
                <w:lang w:val="bs-Latn-BA"/>
              </w:rPr>
            </w:pPr>
            <w:r>
              <w:rPr>
                <w:b/>
                <w:bCs/>
                <w:sz w:val="20"/>
                <w:szCs w:val="20"/>
                <w:lang w:val="bs-Latn-BA"/>
              </w:rPr>
              <w:t>7 - Ostala pasiva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both"/>
              <w:rPr>
                <w:sz w:val="20"/>
                <w:szCs w:val="20"/>
                <w:lang w:val="bs-Latn-BA"/>
              </w:rPr>
            </w:pPr>
            <w:r>
              <w:rPr>
                <w:sz w:val="18"/>
                <w:szCs w:val="20"/>
                <w:lang w:val="bs-Latn-BA"/>
              </w:rPr>
              <w:t>Drugo - dio koji se odnosi na pozajmice od nebankarskih domaćih sektora</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a) Do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vAlign w:val="center"/>
            <w:hideMark/>
          </w:tcPr>
          <w:p>
            <w:pPr>
              <w:jc w:val="center"/>
              <w:rPr>
                <w:i/>
                <w:iCs/>
                <w:sz w:val="20"/>
                <w:szCs w:val="20"/>
                <w:lang w:val="bs-Latn-BA"/>
              </w:rPr>
            </w:pPr>
            <w:r>
              <w:rPr>
                <w:i/>
                <w:iCs/>
                <w:sz w:val="20"/>
                <w:szCs w:val="20"/>
                <w:lang w:val="bs-Latn-BA"/>
              </w:rPr>
              <w:t>b) Preko jedne godine</w:t>
            </w:r>
          </w:p>
        </w:tc>
        <w:tc>
          <w:tcPr>
            <w:tcW w:w="1417" w:type="dxa"/>
            <w:vAlign w:val="center"/>
            <w:hideMark/>
          </w:tcPr>
          <w:p>
            <w:pPr>
              <w:jc w:val="both"/>
              <w:rPr>
                <w:sz w:val="20"/>
                <w:szCs w:val="20"/>
                <w:lang w:val="bs-Latn-BA"/>
              </w:rPr>
            </w:pPr>
            <w:r>
              <w:rPr>
                <w:sz w:val="20"/>
                <w:szCs w:val="20"/>
                <w:lang w:val="bs-Latn-BA"/>
              </w:rPr>
              <w:t> </w:t>
            </w:r>
          </w:p>
        </w:tc>
        <w:tc>
          <w:tcPr>
            <w:tcW w:w="1417" w:type="dxa"/>
            <w:vAlign w:val="center"/>
            <w:hideMark/>
          </w:tcPr>
          <w:p>
            <w:pPr>
              <w:jc w:val="both"/>
              <w:rPr>
                <w:sz w:val="20"/>
                <w:szCs w:val="20"/>
                <w:lang w:val="bs-Latn-BA"/>
              </w:rPr>
            </w:pPr>
            <w:r>
              <w:rPr>
                <w:sz w:val="20"/>
                <w:szCs w:val="20"/>
                <w:lang w:val="bs-Latn-BA"/>
              </w:rPr>
              <w:t> </w:t>
            </w:r>
          </w:p>
        </w:tc>
        <w:tc>
          <w:tcPr>
            <w:tcW w:w="1271" w:type="dxa"/>
            <w:vAlign w:val="center"/>
            <w:hideMark/>
          </w:tcPr>
          <w:p>
            <w:pPr>
              <w:jc w:val="both"/>
              <w:rPr>
                <w:sz w:val="20"/>
                <w:szCs w:val="20"/>
                <w:lang w:val="bs-Latn-BA"/>
              </w:rPr>
            </w:pPr>
            <w:r>
              <w:rPr>
                <w:sz w:val="20"/>
                <w:szCs w:val="20"/>
                <w:lang w:val="bs-Latn-BA"/>
              </w:rPr>
              <w:t> </w:t>
            </w:r>
          </w:p>
        </w:tc>
        <w:tc>
          <w:tcPr>
            <w:tcW w:w="1276" w:type="dxa"/>
            <w:vAlign w:val="center"/>
            <w:hideMark/>
          </w:tcPr>
          <w:p>
            <w:pPr>
              <w:jc w:val="both"/>
              <w:rPr>
                <w:sz w:val="20"/>
                <w:szCs w:val="20"/>
                <w:lang w:val="bs-Latn-BA"/>
              </w:rPr>
            </w:pPr>
            <w:r>
              <w:rPr>
                <w:sz w:val="20"/>
                <w:szCs w:val="20"/>
                <w:lang w:val="bs-Latn-BA"/>
              </w:rPr>
              <w:t> </w:t>
            </w:r>
          </w:p>
        </w:tc>
      </w:tr>
      <w:tr>
        <w:trPr>
          <w:gridAfter w:val="1"/>
          <w:wAfter w:w="11" w:type="dxa"/>
          <w:trHeight w:val="20"/>
          <w:jc w:val="center"/>
        </w:trPr>
        <w:tc>
          <w:tcPr>
            <w:tcW w:w="5387" w:type="dxa"/>
            <w:tcBorders>
              <w:bottom w:val="single" w:sz="4" w:space="0" w:color="auto"/>
            </w:tcBorders>
            <w:vAlign w:val="center"/>
            <w:hideMark/>
          </w:tcPr>
          <w:p>
            <w:pPr>
              <w:jc w:val="right"/>
              <w:rPr>
                <w:b/>
                <w:bCs/>
                <w:sz w:val="20"/>
                <w:szCs w:val="20"/>
                <w:lang w:val="bs-Latn-BA"/>
              </w:rPr>
            </w:pPr>
            <w:r>
              <w:rPr>
                <w:b/>
                <w:bCs/>
                <w:sz w:val="20"/>
                <w:szCs w:val="20"/>
                <w:lang w:val="bs-Latn-BA"/>
              </w:rPr>
              <w:t>7 - IZNOS UKUPNO</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1"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6" w:type="dxa"/>
            <w:tcBorders>
              <w:bottom w:val="single" w:sz="4" w:space="0" w:color="auto"/>
            </w:tcBorders>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tcBorders>
              <w:bottom w:val="single" w:sz="4" w:space="0" w:color="auto"/>
            </w:tcBorders>
            <w:vAlign w:val="center"/>
            <w:hideMark/>
          </w:tcPr>
          <w:p>
            <w:pPr>
              <w:jc w:val="right"/>
              <w:rPr>
                <w:b/>
                <w:sz w:val="20"/>
                <w:szCs w:val="20"/>
                <w:lang w:val="bs-Latn-BA"/>
              </w:rPr>
            </w:pPr>
            <w:r>
              <w:rPr>
                <w:b/>
                <w:bCs/>
                <w:sz w:val="20"/>
                <w:szCs w:val="20"/>
                <w:lang w:val="bs-Latn-BA"/>
              </w:rPr>
              <w:t>UKUPNO (1+2+3+4+5+6+7)</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417"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1" w:type="dxa"/>
            <w:tcBorders>
              <w:bottom w:val="single" w:sz="4" w:space="0" w:color="auto"/>
            </w:tcBorders>
            <w:vAlign w:val="center"/>
            <w:hideMark/>
          </w:tcPr>
          <w:p>
            <w:pPr>
              <w:jc w:val="both"/>
              <w:rPr>
                <w:b/>
                <w:bCs/>
                <w:sz w:val="20"/>
                <w:szCs w:val="20"/>
                <w:lang w:val="bs-Latn-BA"/>
              </w:rPr>
            </w:pPr>
            <w:r>
              <w:rPr>
                <w:b/>
                <w:bCs/>
                <w:sz w:val="20"/>
                <w:szCs w:val="20"/>
                <w:lang w:val="bs-Latn-BA"/>
              </w:rPr>
              <w:t> </w:t>
            </w:r>
          </w:p>
        </w:tc>
        <w:tc>
          <w:tcPr>
            <w:tcW w:w="1276" w:type="dxa"/>
            <w:tcBorders>
              <w:bottom w:val="single" w:sz="4" w:space="0" w:color="auto"/>
            </w:tcBorders>
            <w:vAlign w:val="center"/>
            <w:hideMark/>
          </w:tcPr>
          <w:p>
            <w:pPr>
              <w:jc w:val="both"/>
              <w:rPr>
                <w:b/>
                <w:bCs/>
                <w:sz w:val="20"/>
                <w:szCs w:val="20"/>
                <w:lang w:val="bs-Latn-BA"/>
              </w:rPr>
            </w:pPr>
            <w:r>
              <w:rPr>
                <w:b/>
                <w:bCs/>
                <w:sz w:val="20"/>
                <w:szCs w:val="20"/>
                <w:lang w:val="bs-Latn-BA"/>
              </w:rPr>
              <w:t> </w:t>
            </w:r>
          </w:p>
        </w:tc>
      </w:tr>
      <w:tr>
        <w:trPr>
          <w:gridAfter w:val="1"/>
          <w:wAfter w:w="11" w:type="dxa"/>
          <w:trHeight w:val="20"/>
          <w:jc w:val="center"/>
        </w:trPr>
        <w:tc>
          <w:tcPr>
            <w:tcW w:w="5387" w:type="dxa"/>
            <w:tcBorders>
              <w:bottom w:val="single" w:sz="4" w:space="0" w:color="auto"/>
            </w:tcBorders>
            <w:vAlign w:val="center"/>
          </w:tcPr>
          <w:p>
            <w:pPr>
              <w:jc w:val="right"/>
              <w:rPr>
                <w:b/>
                <w:bCs/>
                <w:sz w:val="20"/>
                <w:szCs w:val="20"/>
                <w:lang w:val="bs-Latn-BA"/>
              </w:rPr>
            </w:pPr>
            <w:r>
              <w:rPr>
                <w:b/>
                <w:bCs/>
                <w:sz w:val="20"/>
                <w:szCs w:val="20"/>
                <w:lang w:val="bs-Latn-BA"/>
              </w:rPr>
              <w:t>UKUPNO do 1 godine (1a+2+3a+4a+5a+6a+7a)</w:t>
            </w:r>
          </w:p>
        </w:tc>
        <w:tc>
          <w:tcPr>
            <w:tcW w:w="1417" w:type="dxa"/>
            <w:tcBorders>
              <w:bottom w:val="single" w:sz="4" w:space="0" w:color="auto"/>
            </w:tcBorders>
            <w:vAlign w:val="center"/>
          </w:tcPr>
          <w:p>
            <w:pPr>
              <w:jc w:val="both"/>
              <w:rPr>
                <w:b/>
                <w:bCs/>
                <w:sz w:val="20"/>
                <w:szCs w:val="20"/>
                <w:lang w:val="bs-Latn-BA"/>
              </w:rPr>
            </w:pPr>
          </w:p>
        </w:tc>
        <w:tc>
          <w:tcPr>
            <w:tcW w:w="1417" w:type="dxa"/>
            <w:tcBorders>
              <w:bottom w:val="single" w:sz="4" w:space="0" w:color="auto"/>
            </w:tcBorders>
            <w:vAlign w:val="center"/>
          </w:tcPr>
          <w:p>
            <w:pPr>
              <w:jc w:val="both"/>
              <w:rPr>
                <w:b/>
                <w:bCs/>
                <w:sz w:val="20"/>
                <w:szCs w:val="20"/>
                <w:lang w:val="bs-Latn-BA"/>
              </w:rPr>
            </w:pPr>
          </w:p>
        </w:tc>
        <w:tc>
          <w:tcPr>
            <w:tcW w:w="1271" w:type="dxa"/>
            <w:tcBorders>
              <w:bottom w:val="single" w:sz="4" w:space="0" w:color="auto"/>
            </w:tcBorders>
            <w:vAlign w:val="center"/>
          </w:tcPr>
          <w:p>
            <w:pPr>
              <w:jc w:val="both"/>
              <w:rPr>
                <w:b/>
                <w:bCs/>
                <w:sz w:val="20"/>
                <w:szCs w:val="20"/>
                <w:lang w:val="bs-Latn-BA"/>
              </w:rPr>
            </w:pPr>
          </w:p>
        </w:tc>
        <w:tc>
          <w:tcPr>
            <w:tcW w:w="1276" w:type="dxa"/>
            <w:tcBorders>
              <w:bottom w:val="single" w:sz="4" w:space="0" w:color="auto"/>
            </w:tcBorders>
            <w:vAlign w:val="center"/>
          </w:tcPr>
          <w:p>
            <w:pPr>
              <w:jc w:val="both"/>
              <w:rPr>
                <w:b/>
                <w:bCs/>
                <w:sz w:val="20"/>
                <w:szCs w:val="20"/>
                <w:lang w:val="bs-Latn-BA"/>
              </w:rPr>
            </w:pPr>
          </w:p>
        </w:tc>
      </w:tr>
      <w:tr>
        <w:trPr>
          <w:gridAfter w:val="1"/>
          <w:wAfter w:w="11" w:type="dxa"/>
          <w:trHeight w:val="20"/>
          <w:jc w:val="center"/>
        </w:trPr>
        <w:tc>
          <w:tcPr>
            <w:tcW w:w="5387" w:type="dxa"/>
            <w:tcBorders>
              <w:bottom w:val="single" w:sz="4" w:space="0" w:color="auto"/>
            </w:tcBorders>
            <w:vAlign w:val="center"/>
          </w:tcPr>
          <w:p>
            <w:pPr>
              <w:jc w:val="right"/>
              <w:rPr>
                <w:b/>
                <w:bCs/>
                <w:sz w:val="20"/>
                <w:szCs w:val="20"/>
                <w:lang w:val="bs-Latn-BA"/>
              </w:rPr>
            </w:pPr>
            <w:r>
              <w:rPr>
                <w:b/>
                <w:bCs/>
                <w:sz w:val="20"/>
                <w:szCs w:val="20"/>
                <w:lang w:val="bs-Latn-BA"/>
              </w:rPr>
              <w:t>UKUPNO preko 1 godine (1b+3b+4b+5b+6b+7b)</w:t>
            </w:r>
          </w:p>
        </w:tc>
        <w:tc>
          <w:tcPr>
            <w:tcW w:w="1417" w:type="dxa"/>
            <w:tcBorders>
              <w:bottom w:val="single" w:sz="4" w:space="0" w:color="auto"/>
            </w:tcBorders>
            <w:vAlign w:val="center"/>
          </w:tcPr>
          <w:p>
            <w:pPr>
              <w:jc w:val="both"/>
              <w:rPr>
                <w:b/>
                <w:bCs/>
                <w:sz w:val="20"/>
                <w:szCs w:val="20"/>
                <w:lang w:val="bs-Latn-BA"/>
              </w:rPr>
            </w:pPr>
          </w:p>
        </w:tc>
        <w:tc>
          <w:tcPr>
            <w:tcW w:w="1417" w:type="dxa"/>
            <w:tcBorders>
              <w:bottom w:val="single" w:sz="4" w:space="0" w:color="auto"/>
            </w:tcBorders>
            <w:vAlign w:val="center"/>
          </w:tcPr>
          <w:p>
            <w:pPr>
              <w:jc w:val="both"/>
              <w:rPr>
                <w:b/>
                <w:bCs/>
                <w:sz w:val="20"/>
                <w:szCs w:val="20"/>
                <w:lang w:val="bs-Latn-BA"/>
              </w:rPr>
            </w:pPr>
          </w:p>
        </w:tc>
        <w:tc>
          <w:tcPr>
            <w:tcW w:w="1271" w:type="dxa"/>
            <w:tcBorders>
              <w:bottom w:val="single" w:sz="4" w:space="0" w:color="auto"/>
            </w:tcBorders>
            <w:vAlign w:val="center"/>
          </w:tcPr>
          <w:p>
            <w:pPr>
              <w:jc w:val="both"/>
              <w:rPr>
                <w:b/>
                <w:bCs/>
                <w:sz w:val="20"/>
                <w:szCs w:val="20"/>
                <w:lang w:val="bs-Latn-BA"/>
              </w:rPr>
            </w:pPr>
          </w:p>
        </w:tc>
        <w:tc>
          <w:tcPr>
            <w:tcW w:w="1276" w:type="dxa"/>
            <w:tcBorders>
              <w:bottom w:val="single" w:sz="4" w:space="0" w:color="auto"/>
            </w:tcBorders>
            <w:vAlign w:val="center"/>
          </w:tcPr>
          <w:p>
            <w:pPr>
              <w:jc w:val="both"/>
              <w:rPr>
                <w:b/>
                <w:bCs/>
                <w:sz w:val="20"/>
                <w:szCs w:val="20"/>
                <w:lang w:val="bs-Latn-BA"/>
              </w:rPr>
            </w:pPr>
          </w:p>
        </w:tc>
      </w:tr>
      <w:tr>
        <w:trPr>
          <w:gridAfter w:val="1"/>
          <w:wAfter w:w="11" w:type="dxa"/>
          <w:trHeight w:val="20"/>
          <w:jc w:val="center"/>
        </w:trPr>
        <w:tc>
          <w:tcPr>
            <w:tcW w:w="5387" w:type="dxa"/>
            <w:tcBorders>
              <w:top w:val="nil"/>
              <w:left w:val="nil"/>
              <w:bottom w:val="nil"/>
              <w:right w:val="nil"/>
            </w:tcBorders>
            <w:vAlign w:val="center"/>
          </w:tcPr>
          <w:p>
            <w:pPr>
              <w:jc w:val="both"/>
              <w:rPr>
                <w:sz w:val="20"/>
                <w:szCs w:val="20"/>
                <w:lang w:val="bs-Latn-BA"/>
              </w:rPr>
            </w:pPr>
            <w:r>
              <w:rPr>
                <w:sz w:val="20"/>
                <w:szCs w:val="20"/>
                <w:lang w:val="bs-Latn-BA"/>
              </w:rPr>
              <w:t>Mjesto, datum:</w:t>
            </w:r>
          </w:p>
        </w:tc>
        <w:tc>
          <w:tcPr>
            <w:tcW w:w="1417" w:type="dxa"/>
            <w:tcBorders>
              <w:top w:val="nil"/>
              <w:left w:val="nil"/>
              <w:bottom w:val="nil"/>
              <w:right w:val="nil"/>
            </w:tcBorders>
            <w:vAlign w:val="center"/>
          </w:tcPr>
          <w:p>
            <w:pPr>
              <w:jc w:val="both"/>
              <w:rPr>
                <w:sz w:val="20"/>
                <w:szCs w:val="20"/>
                <w:lang w:val="bs-Latn-BA"/>
              </w:rPr>
            </w:pPr>
            <w:r>
              <w:rPr>
                <w:sz w:val="20"/>
                <w:szCs w:val="20"/>
                <w:lang w:val="bs-Latn-BA"/>
              </w:rPr>
              <w:t>M.P.</w:t>
            </w:r>
          </w:p>
        </w:tc>
        <w:tc>
          <w:tcPr>
            <w:tcW w:w="3964" w:type="dxa"/>
            <w:gridSpan w:val="3"/>
            <w:tcBorders>
              <w:top w:val="nil"/>
              <w:left w:val="nil"/>
              <w:bottom w:val="nil"/>
              <w:right w:val="nil"/>
            </w:tcBorders>
            <w:vAlign w:val="center"/>
          </w:tcPr>
          <w:p>
            <w:pPr>
              <w:jc w:val="both"/>
              <w:rPr>
                <w:sz w:val="20"/>
                <w:szCs w:val="20"/>
                <w:lang w:val="bs-Latn-BA"/>
              </w:rPr>
            </w:pPr>
          </w:p>
          <w:p>
            <w:pPr>
              <w:jc w:val="both"/>
              <w:rPr>
                <w:sz w:val="20"/>
                <w:szCs w:val="20"/>
                <w:lang w:val="bs-Latn-BA"/>
              </w:rPr>
            </w:pPr>
            <w:r>
              <w:rPr>
                <w:sz w:val="20"/>
                <w:szCs w:val="20"/>
                <w:lang w:val="bs-Latn-BA"/>
              </w:rPr>
              <w:t>Potpis odgovorne osobe:</w:t>
            </w:r>
          </w:p>
          <w:p>
            <w:pPr>
              <w:jc w:val="both"/>
              <w:rPr>
                <w:sz w:val="20"/>
                <w:szCs w:val="20"/>
                <w:lang w:val="bs-Latn-BA"/>
              </w:rPr>
            </w:pPr>
            <w:r>
              <w:rPr>
                <w:sz w:val="20"/>
                <w:szCs w:val="20"/>
                <w:lang w:val="bs-Latn-BA"/>
              </w:rPr>
              <w:t>Ime i prezime:</w:t>
            </w:r>
          </w:p>
        </w:tc>
      </w:tr>
      <w:tr>
        <w:trPr>
          <w:gridAfter w:val="1"/>
          <w:wAfter w:w="11" w:type="dxa"/>
          <w:trHeight w:val="20"/>
          <w:jc w:val="center"/>
        </w:trPr>
        <w:tc>
          <w:tcPr>
            <w:tcW w:w="5387" w:type="dxa"/>
            <w:tcBorders>
              <w:top w:val="nil"/>
              <w:left w:val="nil"/>
              <w:bottom w:val="nil"/>
              <w:right w:val="nil"/>
            </w:tcBorders>
            <w:vAlign w:val="center"/>
          </w:tcPr>
          <w:p>
            <w:pPr>
              <w:jc w:val="both"/>
              <w:rPr>
                <w:sz w:val="20"/>
                <w:szCs w:val="20"/>
                <w:lang w:val="bs-Latn-BA"/>
              </w:rPr>
            </w:pPr>
          </w:p>
        </w:tc>
        <w:tc>
          <w:tcPr>
            <w:tcW w:w="1417" w:type="dxa"/>
            <w:tcBorders>
              <w:top w:val="nil"/>
              <w:left w:val="nil"/>
              <w:bottom w:val="nil"/>
              <w:right w:val="nil"/>
            </w:tcBorders>
            <w:vAlign w:val="center"/>
          </w:tcPr>
          <w:p>
            <w:pPr>
              <w:jc w:val="both"/>
              <w:rPr>
                <w:sz w:val="20"/>
                <w:szCs w:val="20"/>
                <w:lang w:val="bs-Latn-BA"/>
              </w:rPr>
            </w:pPr>
          </w:p>
        </w:tc>
        <w:tc>
          <w:tcPr>
            <w:tcW w:w="3964" w:type="dxa"/>
            <w:gridSpan w:val="3"/>
            <w:tcBorders>
              <w:top w:val="nil"/>
              <w:left w:val="nil"/>
              <w:bottom w:val="nil"/>
              <w:right w:val="nil"/>
            </w:tcBorders>
            <w:vAlign w:val="center"/>
          </w:tcPr>
          <w:p>
            <w:pPr>
              <w:jc w:val="both"/>
              <w:rPr>
                <w:sz w:val="20"/>
                <w:szCs w:val="20"/>
                <w:lang w:val="bs-Latn-BA"/>
              </w:rPr>
            </w:pPr>
            <w:r>
              <w:rPr>
                <w:sz w:val="20"/>
                <w:szCs w:val="20"/>
                <w:lang w:val="bs-Latn-BA"/>
              </w:rPr>
              <w:t>Kontakt-telefon:</w:t>
            </w:r>
          </w:p>
          <w:p>
            <w:pPr>
              <w:jc w:val="both"/>
              <w:rPr>
                <w:sz w:val="20"/>
                <w:szCs w:val="20"/>
                <w:lang w:val="bs-Latn-BA"/>
              </w:rPr>
            </w:pPr>
          </w:p>
          <w:p>
            <w:pPr>
              <w:jc w:val="both"/>
              <w:rPr>
                <w:sz w:val="20"/>
                <w:szCs w:val="20"/>
                <w:lang w:val="bs-Latn-BA"/>
              </w:rPr>
            </w:pPr>
          </w:p>
          <w:p>
            <w:pPr>
              <w:jc w:val="both"/>
              <w:rPr>
                <w:sz w:val="20"/>
                <w:szCs w:val="20"/>
                <w:lang w:val="bs-Latn-BA"/>
              </w:rPr>
            </w:pPr>
          </w:p>
        </w:tc>
      </w:tr>
      <w:tr>
        <w:trPr>
          <w:trHeight w:val="20"/>
          <w:jc w:val="center"/>
        </w:trPr>
        <w:tc>
          <w:tcPr>
            <w:tcW w:w="10779" w:type="dxa"/>
            <w:gridSpan w:val="6"/>
            <w:tcBorders>
              <w:top w:val="nil"/>
              <w:left w:val="nil"/>
              <w:bottom w:val="nil"/>
              <w:right w:val="nil"/>
            </w:tcBorders>
            <w:noWrap/>
            <w:vAlign w:val="center"/>
          </w:tcPr>
          <w:p>
            <w:pPr>
              <w:jc w:val="both"/>
              <w:rPr>
                <w:sz w:val="20"/>
                <w:szCs w:val="20"/>
                <w:lang w:val="bs-Latn-BA"/>
              </w:rPr>
            </w:pPr>
          </w:p>
        </w:tc>
      </w:tr>
      <w:tr>
        <w:trPr>
          <w:trHeight w:val="20"/>
          <w:jc w:val="center"/>
        </w:trPr>
        <w:tc>
          <w:tcPr>
            <w:tcW w:w="10779" w:type="dxa"/>
            <w:gridSpan w:val="6"/>
            <w:tcBorders>
              <w:top w:val="nil"/>
              <w:left w:val="nil"/>
              <w:bottom w:val="nil"/>
              <w:right w:val="nil"/>
            </w:tcBorders>
            <w:noWrap/>
            <w:vAlign w:val="center"/>
          </w:tcPr>
          <w:p>
            <w:pPr>
              <w:jc w:val="both"/>
              <w:rPr>
                <w:sz w:val="20"/>
                <w:szCs w:val="20"/>
                <w:lang w:val="bs-Latn-BA"/>
              </w:rPr>
            </w:pPr>
            <w:bookmarkStart w:id="4" w:name="_Hlk205300030"/>
          </w:p>
        </w:tc>
      </w:tr>
      <w:bookmarkEnd w:id="4"/>
      <w:tr>
        <w:trPr>
          <w:gridAfter w:val="1"/>
          <w:wAfter w:w="11" w:type="dxa"/>
          <w:jc w:val="center"/>
        </w:trPr>
        <w:tc>
          <w:tcPr>
            <w:tcW w:w="5387" w:type="dxa"/>
            <w:tcBorders>
              <w:top w:val="single" w:sz="4" w:space="0" w:color="auto"/>
            </w:tcBorders>
            <w:vAlign w:val="center"/>
            <w:hideMark/>
          </w:tcPr>
          <w:p>
            <w:pPr>
              <w:jc w:val="center"/>
              <w:rPr>
                <w:b/>
                <w:bCs/>
                <w:sz w:val="20"/>
                <w:szCs w:val="20"/>
                <w:lang w:val="bs-Latn-BA"/>
              </w:rPr>
            </w:pPr>
            <w:r>
              <w:rPr>
                <w:b/>
                <w:bCs/>
                <w:sz w:val="20"/>
                <w:szCs w:val="20"/>
                <w:lang w:val="bs-Latn-BA"/>
              </w:rPr>
              <w:t>OPIS POZICIJA</w:t>
            </w:r>
          </w:p>
        </w:tc>
        <w:tc>
          <w:tcPr>
            <w:tcW w:w="1417" w:type="dxa"/>
            <w:tcBorders>
              <w:top w:val="single" w:sz="4" w:space="0" w:color="auto"/>
              <w:bottom w:val="single" w:sz="4" w:space="0" w:color="auto"/>
            </w:tcBorders>
            <w:vAlign w:val="center"/>
            <w:hideMark/>
          </w:tcPr>
          <w:p>
            <w:pPr>
              <w:jc w:val="center"/>
              <w:rPr>
                <w:sz w:val="20"/>
                <w:szCs w:val="20"/>
                <w:lang w:val="bs-Latn-BA"/>
              </w:rPr>
            </w:pPr>
            <w:r>
              <w:rPr>
                <w:sz w:val="20"/>
                <w:szCs w:val="20"/>
                <w:lang w:val="bs-Latn-BA"/>
              </w:rPr>
              <w:t xml:space="preserve">Prosječno stanje sredstava u KM </w:t>
            </w:r>
          </w:p>
        </w:tc>
        <w:tc>
          <w:tcPr>
            <w:tcW w:w="3964" w:type="dxa"/>
            <w:gridSpan w:val="3"/>
            <w:tcBorders>
              <w:top w:val="single" w:sz="4" w:space="0" w:color="auto"/>
              <w:bottom w:val="single" w:sz="4" w:space="0" w:color="auto"/>
            </w:tcBorders>
            <w:vAlign w:val="center"/>
          </w:tcPr>
          <w:p>
            <w:pPr>
              <w:jc w:val="center"/>
              <w:rPr>
                <w:sz w:val="20"/>
                <w:szCs w:val="20"/>
                <w:lang w:val="bs-Latn-BA"/>
              </w:rPr>
            </w:pPr>
            <w:r>
              <w:rPr>
                <w:sz w:val="20"/>
                <w:szCs w:val="20"/>
                <w:lang w:val="bs-Latn-BA"/>
              </w:rPr>
              <w:t>Prosječno stanje sredstava u KM</w:t>
            </w:r>
          </w:p>
        </w:tc>
      </w:tr>
      <w:tr>
        <w:trPr>
          <w:gridAfter w:val="1"/>
          <w:wAfter w:w="11" w:type="dxa"/>
          <w:trHeight w:val="20"/>
          <w:jc w:val="center"/>
        </w:trPr>
        <w:tc>
          <w:tcPr>
            <w:tcW w:w="5387" w:type="dxa"/>
            <w:vMerge w:val="restart"/>
            <w:vAlign w:val="center"/>
            <w:hideMark/>
          </w:tcPr>
          <w:p>
            <w:pPr>
              <w:jc w:val="center"/>
              <w:rPr>
                <w:sz w:val="20"/>
                <w:szCs w:val="20"/>
                <w:lang w:val="bs-Latn-BA"/>
              </w:rPr>
            </w:pPr>
            <w:r>
              <w:rPr>
                <w:b/>
                <w:bCs/>
                <w:sz w:val="20"/>
                <w:szCs w:val="20"/>
                <w:lang w:val="bs-Latn-BA"/>
              </w:rPr>
              <w:t>OBAVEZE NA KOJE SE NE OBRAČUNAVA  OBAVEZNA REZERVA</w:t>
            </w:r>
          </w:p>
        </w:tc>
        <w:tc>
          <w:tcPr>
            <w:tcW w:w="1417" w:type="dxa"/>
            <w:vMerge w:val="restart"/>
            <w:vAlign w:val="center"/>
            <w:hideMark/>
          </w:tcPr>
          <w:p>
            <w:pPr>
              <w:jc w:val="center"/>
              <w:rPr>
                <w:sz w:val="20"/>
                <w:szCs w:val="20"/>
                <w:lang w:val="bs-Latn-BA"/>
              </w:rPr>
            </w:pPr>
            <w:r>
              <w:rPr>
                <w:sz w:val="20"/>
                <w:szCs w:val="20"/>
                <w:lang w:val="bs-Latn-BA"/>
              </w:rPr>
              <w:t>KM</w:t>
            </w:r>
          </w:p>
        </w:tc>
        <w:tc>
          <w:tcPr>
            <w:tcW w:w="3964" w:type="dxa"/>
            <w:gridSpan w:val="3"/>
            <w:vAlign w:val="center"/>
            <w:hideMark/>
          </w:tcPr>
          <w:p>
            <w:pPr>
              <w:jc w:val="center"/>
              <w:rPr>
                <w:sz w:val="20"/>
                <w:szCs w:val="20"/>
                <w:lang w:val="bs-Latn-BA"/>
              </w:rPr>
            </w:pPr>
            <w:r>
              <w:rPr>
                <w:sz w:val="20"/>
                <w:szCs w:val="20"/>
                <w:lang w:val="bs-Latn-BA"/>
              </w:rPr>
              <w:t>Ostale valute</w:t>
            </w:r>
          </w:p>
        </w:tc>
      </w:tr>
      <w:tr>
        <w:trPr>
          <w:gridAfter w:val="1"/>
          <w:wAfter w:w="11" w:type="dxa"/>
          <w:trHeight w:val="20"/>
          <w:jc w:val="center"/>
        </w:trPr>
        <w:tc>
          <w:tcPr>
            <w:tcW w:w="5387" w:type="dxa"/>
            <w:vMerge/>
            <w:vAlign w:val="center"/>
            <w:hideMark/>
          </w:tcPr>
          <w:p>
            <w:pPr>
              <w:jc w:val="center"/>
              <w:rPr>
                <w:b/>
                <w:bCs/>
                <w:sz w:val="20"/>
                <w:szCs w:val="20"/>
                <w:lang w:val="bs-Latn-BA"/>
              </w:rPr>
            </w:pPr>
          </w:p>
        </w:tc>
        <w:tc>
          <w:tcPr>
            <w:tcW w:w="1417" w:type="dxa"/>
            <w:vMerge/>
            <w:noWrap/>
            <w:vAlign w:val="center"/>
            <w:hideMark/>
          </w:tcPr>
          <w:p>
            <w:pPr>
              <w:jc w:val="center"/>
              <w:rPr>
                <w:sz w:val="20"/>
                <w:szCs w:val="20"/>
                <w:lang w:val="bs-Latn-BA"/>
              </w:rPr>
            </w:pPr>
          </w:p>
        </w:tc>
        <w:tc>
          <w:tcPr>
            <w:tcW w:w="1417" w:type="dxa"/>
            <w:vAlign w:val="center"/>
            <w:hideMark/>
          </w:tcPr>
          <w:p>
            <w:pPr>
              <w:jc w:val="center"/>
              <w:rPr>
                <w:sz w:val="19"/>
                <w:szCs w:val="19"/>
                <w:lang w:val="bs-Latn-BA"/>
              </w:rPr>
            </w:pPr>
            <w:r>
              <w:rPr>
                <w:sz w:val="19"/>
                <w:szCs w:val="19"/>
                <w:lang w:val="bs-Latn-BA"/>
              </w:rPr>
              <w:t>KM s valutnom klauzulom izraženo u KM</w:t>
            </w:r>
          </w:p>
        </w:tc>
        <w:tc>
          <w:tcPr>
            <w:tcW w:w="1271" w:type="dxa"/>
            <w:vAlign w:val="center"/>
            <w:hideMark/>
          </w:tcPr>
          <w:p>
            <w:pPr>
              <w:jc w:val="center"/>
              <w:rPr>
                <w:sz w:val="20"/>
                <w:szCs w:val="20"/>
                <w:lang w:val="bs-Latn-BA"/>
              </w:rPr>
            </w:pPr>
            <w:r>
              <w:rPr>
                <w:sz w:val="20"/>
                <w:szCs w:val="20"/>
                <w:lang w:val="bs-Latn-BA"/>
              </w:rPr>
              <w:t>Strane valute izraženo u KM</w:t>
            </w:r>
          </w:p>
        </w:tc>
        <w:tc>
          <w:tcPr>
            <w:tcW w:w="1276" w:type="dxa"/>
            <w:vAlign w:val="center"/>
            <w:hideMark/>
          </w:tcPr>
          <w:p>
            <w:pPr>
              <w:jc w:val="center"/>
              <w:rPr>
                <w:sz w:val="20"/>
                <w:szCs w:val="20"/>
                <w:lang w:val="bs-Latn-BA"/>
              </w:rPr>
            </w:pPr>
            <w:r>
              <w:rPr>
                <w:sz w:val="20"/>
                <w:szCs w:val="20"/>
                <w:lang w:val="bs-Latn-BA"/>
              </w:rPr>
              <w:t>Ostale valute ukupno u KM</w:t>
            </w:r>
          </w:p>
        </w:tc>
      </w:tr>
      <w:tr>
        <w:trPr>
          <w:gridAfter w:val="1"/>
          <w:wAfter w:w="11" w:type="dxa"/>
          <w:trHeight w:val="20"/>
          <w:jc w:val="center"/>
        </w:trPr>
        <w:tc>
          <w:tcPr>
            <w:tcW w:w="5387" w:type="dxa"/>
            <w:vAlign w:val="center"/>
          </w:tcPr>
          <w:p>
            <w:pPr>
              <w:jc w:val="center"/>
              <w:rPr>
                <w:b/>
                <w:bCs/>
                <w:sz w:val="16"/>
                <w:szCs w:val="16"/>
                <w:lang w:val="bs-Latn-BA"/>
              </w:rPr>
            </w:pPr>
          </w:p>
        </w:tc>
        <w:tc>
          <w:tcPr>
            <w:tcW w:w="1417" w:type="dxa"/>
            <w:vAlign w:val="center"/>
          </w:tcPr>
          <w:p>
            <w:pPr>
              <w:jc w:val="center"/>
              <w:rPr>
                <w:sz w:val="16"/>
                <w:szCs w:val="16"/>
                <w:lang w:val="bs-Latn-BA"/>
              </w:rPr>
            </w:pPr>
            <w:r>
              <w:rPr>
                <w:sz w:val="16"/>
                <w:szCs w:val="16"/>
                <w:lang w:val="bs-Latn-BA"/>
              </w:rPr>
              <w:t>1</w:t>
            </w:r>
          </w:p>
        </w:tc>
        <w:tc>
          <w:tcPr>
            <w:tcW w:w="1417" w:type="dxa"/>
            <w:vAlign w:val="center"/>
          </w:tcPr>
          <w:p>
            <w:pPr>
              <w:jc w:val="center"/>
              <w:rPr>
                <w:sz w:val="16"/>
                <w:szCs w:val="16"/>
                <w:lang w:val="bs-Latn-BA"/>
              </w:rPr>
            </w:pPr>
            <w:r>
              <w:rPr>
                <w:sz w:val="16"/>
                <w:szCs w:val="16"/>
                <w:lang w:val="bs-Latn-BA"/>
              </w:rPr>
              <w:t>2</w:t>
            </w:r>
          </w:p>
        </w:tc>
        <w:tc>
          <w:tcPr>
            <w:tcW w:w="1271" w:type="dxa"/>
            <w:vAlign w:val="center"/>
          </w:tcPr>
          <w:p>
            <w:pPr>
              <w:jc w:val="center"/>
              <w:rPr>
                <w:sz w:val="16"/>
                <w:szCs w:val="16"/>
                <w:lang w:val="bs-Latn-BA"/>
              </w:rPr>
            </w:pPr>
            <w:r>
              <w:rPr>
                <w:sz w:val="16"/>
                <w:szCs w:val="16"/>
                <w:lang w:val="bs-Latn-BA"/>
              </w:rPr>
              <w:t>3</w:t>
            </w:r>
          </w:p>
        </w:tc>
        <w:tc>
          <w:tcPr>
            <w:tcW w:w="1276" w:type="dxa"/>
            <w:vAlign w:val="center"/>
          </w:tcPr>
          <w:p>
            <w:pPr>
              <w:jc w:val="center"/>
              <w:rPr>
                <w:sz w:val="16"/>
                <w:szCs w:val="16"/>
                <w:lang w:val="bs-Latn-BA"/>
              </w:rPr>
            </w:pPr>
            <w:r>
              <w:rPr>
                <w:sz w:val="16"/>
                <w:szCs w:val="16"/>
                <w:lang w:val="bs-Latn-BA"/>
              </w:rPr>
              <w:t>4=2+3</w:t>
            </w:r>
          </w:p>
        </w:tc>
      </w:tr>
      <w:tr>
        <w:trPr>
          <w:gridAfter w:val="1"/>
          <w:wAfter w:w="11" w:type="dxa"/>
          <w:trHeight w:val="20"/>
          <w:jc w:val="center"/>
        </w:trPr>
        <w:tc>
          <w:tcPr>
            <w:tcW w:w="5387" w:type="dxa"/>
            <w:vAlign w:val="center"/>
          </w:tcPr>
          <w:p>
            <w:pPr>
              <w:pStyle w:val="ListParagraph"/>
              <w:spacing w:after="0" w:line="240" w:lineRule="auto"/>
              <w:ind w:left="0"/>
              <w:rPr>
                <w:rFonts w:ascii="Times New Roman" w:hAnsi="Times New Roman"/>
                <w:b/>
                <w:bCs/>
                <w:sz w:val="18"/>
                <w:szCs w:val="18"/>
              </w:rPr>
            </w:pPr>
            <w:r>
              <w:rPr>
                <w:rFonts w:ascii="Times New Roman" w:hAnsi="Times New Roman"/>
                <w:b/>
                <w:bCs/>
                <w:sz w:val="18"/>
                <w:szCs w:val="18"/>
              </w:rPr>
              <w:t>I Obaveze prema bankama koje drže obavezne rezerve kod CBBH</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sz w:val="18"/>
                <w:szCs w:val="18"/>
              </w:rPr>
            </w:pPr>
            <w:r>
              <w:rPr>
                <w:rFonts w:ascii="Times New Roman" w:hAnsi="Times New Roman"/>
                <w:sz w:val="18"/>
                <w:szCs w:val="18"/>
              </w:rPr>
              <w:t>depoziti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sz w:val="18"/>
                <w:szCs w:val="18"/>
              </w:rPr>
            </w:pPr>
            <w:r>
              <w:rPr>
                <w:rFonts w:ascii="Times New Roman" w:hAnsi="Times New Roman"/>
                <w:sz w:val="18"/>
                <w:szCs w:val="18"/>
              </w:rPr>
              <w:t>pozajmljena sredstva</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spacing w:after="0" w:line="240" w:lineRule="auto"/>
              <w:ind w:left="0"/>
              <w:jc w:val="right"/>
              <w:rPr>
                <w:rFonts w:ascii="Times New Roman" w:hAnsi="Times New Roman"/>
                <w:b/>
                <w:bCs/>
                <w:sz w:val="18"/>
                <w:szCs w:val="18"/>
              </w:rPr>
            </w:pPr>
            <w:r>
              <w:rPr>
                <w:rFonts w:ascii="Times New Roman" w:hAnsi="Times New Roman"/>
                <w:b/>
                <w:bCs/>
                <w:sz w:val="18"/>
                <w:szCs w:val="18"/>
              </w:rPr>
              <w:t>UKUPNO 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20"/>
          <w:jc w:val="center"/>
        </w:trPr>
        <w:tc>
          <w:tcPr>
            <w:tcW w:w="5387" w:type="dxa"/>
            <w:vAlign w:val="center"/>
          </w:tcPr>
          <w:p>
            <w:pPr>
              <w:pStyle w:val="ListParagraph"/>
              <w:spacing w:after="0" w:line="240" w:lineRule="auto"/>
              <w:ind w:left="0"/>
              <w:jc w:val="both"/>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Dugoročni krediti od nerezidenata do 1992. godine i obaveze po osnovu stare devizne štednje građana</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506"/>
          <w:jc w:val="center"/>
        </w:trPr>
        <w:tc>
          <w:tcPr>
            <w:tcW w:w="5387" w:type="dxa"/>
            <w:vAlign w:val="center"/>
          </w:tcPr>
          <w:p>
            <w:pPr>
              <w:pStyle w:val="ListParagraph"/>
              <w:spacing w:after="0" w:line="240" w:lineRule="auto"/>
              <w:ind w:left="0"/>
              <w:jc w:val="both"/>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Krediti ino banaka koji su dobijeni preko ministarstva finansija vlada entiteta - banka je samo posrednik, dok je vlada entiteta garant i dužnik</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gridAfter w:val="1"/>
          <w:wAfter w:w="11" w:type="dxa"/>
          <w:trHeight w:val="421"/>
          <w:jc w:val="center"/>
        </w:trPr>
        <w:tc>
          <w:tcPr>
            <w:tcW w:w="5387" w:type="dxa"/>
            <w:vAlign w:val="center"/>
          </w:tcPr>
          <w:p>
            <w:pPr>
              <w:jc w:val="right"/>
              <w:rPr>
                <w:b/>
                <w:bCs/>
                <w:sz w:val="18"/>
                <w:szCs w:val="18"/>
                <w:lang w:val="bs-Latn-BA"/>
              </w:rPr>
            </w:pPr>
            <w:r>
              <w:rPr>
                <w:b/>
                <w:bCs/>
                <w:sz w:val="18"/>
                <w:szCs w:val="18"/>
                <w:lang w:val="bs-Latn-BA"/>
              </w:rPr>
              <w:t>UKUPNO (I+II+III)</w:t>
            </w:r>
          </w:p>
        </w:tc>
        <w:tc>
          <w:tcPr>
            <w:tcW w:w="1417" w:type="dxa"/>
            <w:vAlign w:val="center"/>
          </w:tcPr>
          <w:p>
            <w:pPr>
              <w:jc w:val="center"/>
              <w:rPr>
                <w:sz w:val="16"/>
                <w:szCs w:val="16"/>
                <w:lang w:val="bs-Latn-BA"/>
              </w:rPr>
            </w:pPr>
          </w:p>
        </w:tc>
        <w:tc>
          <w:tcPr>
            <w:tcW w:w="1417" w:type="dxa"/>
            <w:vAlign w:val="center"/>
          </w:tcPr>
          <w:p>
            <w:pPr>
              <w:jc w:val="center"/>
              <w:rPr>
                <w:sz w:val="16"/>
                <w:szCs w:val="16"/>
                <w:lang w:val="bs-Latn-BA"/>
              </w:rPr>
            </w:pPr>
          </w:p>
        </w:tc>
        <w:tc>
          <w:tcPr>
            <w:tcW w:w="1271" w:type="dxa"/>
            <w:vAlign w:val="center"/>
          </w:tcPr>
          <w:p>
            <w:pPr>
              <w:jc w:val="center"/>
              <w:rPr>
                <w:sz w:val="16"/>
                <w:szCs w:val="16"/>
                <w:lang w:val="bs-Latn-BA"/>
              </w:rPr>
            </w:pPr>
          </w:p>
        </w:tc>
        <w:tc>
          <w:tcPr>
            <w:tcW w:w="1276" w:type="dxa"/>
            <w:vAlign w:val="center"/>
          </w:tcPr>
          <w:p>
            <w:pPr>
              <w:jc w:val="center"/>
              <w:rPr>
                <w:sz w:val="16"/>
                <w:szCs w:val="16"/>
                <w:lang w:val="bs-Latn-BA"/>
              </w:rPr>
            </w:pPr>
          </w:p>
        </w:tc>
      </w:tr>
      <w:tr>
        <w:trPr>
          <w:trHeight w:val="121"/>
          <w:jc w:val="center"/>
        </w:trPr>
        <w:tc>
          <w:tcPr>
            <w:tcW w:w="10779" w:type="dxa"/>
            <w:gridSpan w:val="6"/>
            <w:tcBorders>
              <w:top w:val="nil"/>
              <w:left w:val="nil"/>
              <w:bottom w:val="nil"/>
              <w:right w:val="nil"/>
            </w:tcBorders>
            <w:noWrap/>
            <w:vAlign w:val="center"/>
          </w:tcPr>
          <w:p>
            <w:pPr>
              <w:jc w:val="both"/>
              <w:rPr>
                <w:strike/>
                <w:sz w:val="20"/>
                <w:szCs w:val="20"/>
                <w:lang w:val="bs-Latn-BA"/>
              </w:rPr>
            </w:pPr>
          </w:p>
        </w:tc>
      </w:tr>
      <w:tr>
        <w:trPr>
          <w:trHeight w:val="121"/>
          <w:jc w:val="center"/>
        </w:trPr>
        <w:tc>
          <w:tcPr>
            <w:tcW w:w="10779" w:type="dxa"/>
            <w:gridSpan w:val="6"/>
            <w:tcBorders>
              <w:top w:val="nil"/>
              <w:left w:val="nil"/>
              <w:bottom w:val="nil"/>
              <w:right w:val="nil"/>
            </w:tcBorders>
            <w:noWrap/>
            <w:vAlign w:val="center"/>
          </w:tcPr>
          <w:p>
            <w:pPr>
              <w:jc w:val="both"/>
              <w:rPr>
                <w:sz w:val="20"/>
                <w:szCs w:val="20"/>
                <w:lang w:val="bs-Latn-BA"/>
              </w:rPr>
            </w:pPr>
            <w:r>
              <w:rPr>
                <w:sz w:val="20"/>
                <w:szCs w:val="20"/>
                <w:lang w:val="bs-Latn-BA"/>
              </w:rPr>
              <w:t xml:space="preserve">Mjesto, datum:                                                                                                                  Odgovorna osoba: </w:t>
            </w:r>
          </w:p>
        </w:tc>
      </w:tr>
    </w:tbl>
    <w:p>
      <w:pPr>
        <w:tabs>
          <w:tab w:val="center" w:pos="7088"/>
        </w:tabs>
        <w:rPr>
          <w:bCs/>
          <w:sz w:val="20"/>
          <w:lang w:val="bs-Latn-BA"/>
        </w:rPr>
      </w:pPr>
    </w:p>
    <w:sectPr>
      <w:pgSz w:w="11906" w:h="16838"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1216"/>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Cs/>
              </w:rPr>
              <w:fldChar w:fldCharType="begin"/>
            </w:r>
            <w:r>
              <w:rPr>
                <w:bCs/>
              </w:rPr>
              <w:instrText xml:space="preserve"> PAGE </w:instrText>
            </w:r>
            <w:r>
              <w:rPr>
                <w:bCs/>
              </w:rPr>
              <w:fldChar w:fldCharType="separate"/>
            </w:r>
            <w:r>
              <w:rPr>
                <w:bCs/>
                <w:noProof/>
              </w:rPr>
              <w:t>5</w:t>
            </w:r>
            <w:r>
              <w:rPr>
                <w:bCs/>
              </w:rPr>
              <w:fldChar w:fldCharType="end"/>
            </w:r>
            <w:r>
              <w:t xml:space="preserve"> / </w:t>
            </w:r>
            <w:r>
              <w:rPr>
                <w:bCs/>
              </w:rPr>
              <w:fldChar w:fldCharType="begin"/>
            </w:r>
            <w:r>
              <w:rPr>
                <w:bCs/>
              </w:rPr>
              <w:instrText xml:space="preserve"> NUMPAGES  </w:instrText>
            </w:r>
            <w:r>
              <w:rPr>
                <w:bCs/>
              </w:rPr>
              <w:fldChar w:fldCharType="separate"/>
            </w:r>
            <w:r>
              <w:rPr>
                <w:bCs/>
                <w:noProof/>
              </w:rPr>
              <w:t>6</w:t>
            </w:r>
            <w:r>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998"/>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488620E"/>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30B7D"/>
    <w:multiLevelType w:val="hybridMultilevel"/>
    <w:tmpl w:val="9A06555C"/>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2D45DBC"/>
    <w:multiLevelType w:val="hybridMultilevel"/>
    <w:tmpl w:val="6CF221FE"/>
    <w:lvl w:ilvl="0" w:tplc="62F262FA">
      <w:start w:val="18"/>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6041656E"/>
    <w:multiLevelType w:val="hybridMultilevel"/>
    <w:tmpl w:val="0B006CE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513209B"/>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D6A2AFD"/>
    <w:multiLevelType w:val="hybridMultilevel"/>
    <w:tmpl w:val="81BA5E56"/>
    <w:lvl w:ilvl="0" w:tplc="DF8CB830">
      <w:start w:val="1"/>
      <w:numFmt w:val="lowerLetter"/>
      <w:lvlText w:val="%1)"/>
      <w:lvlJc w:val="left"/>
      <w:pPr>
        <w:ind w:left="720" w:hanging="360"/>
      </w:pPr>
      <w:rPr>
        <w:rFonts w:eastAsiaTheme="minorHAnsi" w:cstheme="minorBidi"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F9420FE"/>
    <w:multiLevelType w:val="hybridMultilevel"/>
    <w:tmpl w:val="C21C3D3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3"/>
    <w:lvlOverride w:ilvl="0">
      <w:startOverride w:val="1"/>
    </w:lvlOverride>
  </w:num>
  <w:num w:numId="2">
    <w:abstractNumId w:val="3"/>
  </w:num>
  <w:num w:numId="3">
    <w:abstractNumId w:val="16"/>
  </w:num>
  <w:num w:numId="4">
    <w:abstractNumId w:val="10"/>
  </w:num>
  <w:num w:numId="5">
    <w:abstractNumId w:val="0"/>
  </w:num>
  <w:num w:numId="6">
    <w:abstractNumId w:val="12"/>
  </w:num>
  <w:num w:numId="7">
    <w:abstractNumId w:val="14"/>
  </w:num>
  <w:num w:numId="8">
    <w:abstractNumId w:val="5"/>
  </w:num>
  <w:num w:numId="9">
    <w:abstractNumId w:val="11"/>
  </w:num>
  <w:num w:numId="10">
    <w:abstractNumId w:val="4"/>
  </w:num>
  <w:num w:numId="11">
    <w:abstractNumId w:val="6"/>
  </w:num>
  <w:num w:numId="12">
    <w:abstractNumId w:val="1"/>
  </w:num>
  <w:num w:numId="13">
    <w:abstractNumId w:val="8"/>
  </w:num>
  <w:num w:numId="14">
    <w:abstractNumId w:val="2"/>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4E814-415A-426D-B3AE-79BA18E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bs-Latn-BA"/>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 w:type="paragraph" w:styleId="NoSpacing">
    <w:name w:val="No Spacing"/>
    <w:uiPriority w:val="1"/>
    <w:qFormat/>
    <w:pPr>
      <w:spacing w:after="0" w:line="240" w:lineRule="auto"/>
    </w:p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33</cp:revision>
  <cp:lastPrinted>2025-04-09T07:06:00Z</cp:lastPrinted>
  <dcterms:created xsi:type="dcterms:W3CDTF">2021-11-02T12:27:00Z</dcterms:created>
  <dcterms:modified xsi:type="dcterms:W3CDTF">2026-02-11T07:58:00Z</dcterms:modified>
</cp:coreProperties>
</file>