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>Na temelju članka 7. stavak 1. točka b) i članaka 36. i 70. Zakona o Centralnoj banci Bosne i Hercegovine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(„Službeni glasnik BiH“, br. 1/97, 29/02, 8/03, 13/03, 14/03, 9/05, 76/06 i 32/07),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Upravno vijeće Centralne banke Bosne i Hercegovine, na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7. sjednici održanoj 28.07.2023. godine i 8. sjednici održanoj 29.08.2023. godine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, donosi</w:t>
      </w: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t>ODLUKU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o načinu obavljanja transakcija povećanja i smanjenja sredstava </w:t>
      </w:r>
    </w:p>
    <w:p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na računu rezervi u EUR  </w:t>
      </w:r>
    </w:p>
    <w:p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1.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(Predmet odluke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Ovom odlukom uređuje se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način obavljanja transakcija povećanja i smanjenja </w:t>
      </w:r>
      <w:r>
        <w:rPr>
          <w:rFonts w:ascii="Times New Roman" w:eastAsia="Times New Roman" w:hAnsi="Times New Roman" w:cs="Times New Roman"/>
          <w:bCs/>
          <w:noProof/>
          <w:color w:val="0D0D0D"/>
          <w:sz w:val="24"/>
          <w:szCs w:val="24"/>
        </w:rPr>
        <w:t>sredsta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va na računu rezervi u EUR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koje Centralna banka Bosne i Hercegovine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tekstu: Centralna banka) obavlja s bankama u Bosni i Hercegovini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tekstu: banka) u skladu s propisom Centralne banke o utvrđivanju i održavanju obveznih rezervi i utvrđivanju naknade na iznos rezervi.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2.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(Povećanje i smanjenje sredstava na računu rezervi u EUR)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(1) Centralna banka vrši </w:t>
      </w:r>
      <w:r>
        <w:rPr>
          <w:rFonts w:ascii="Times New Roman" w:eastAsia="Times New Roman" w:hAnsi="Times New Roman" w:cs="Times New Roman"/>
          <w:bCs/>
          <w:noProof/>
          <w:sz w:val="24"/>
          <w:szCs w:val="24"/>
        </w:rPr>
        <w:t>povećanja i smanjenja sredstva na računu rezervi u EUR na temelju zahtjeva banke i to:</w:t>
      </w:r>
    </w:p>
    <w:p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zahtjeva banke za povećanje/smanjenje računa rezervi u EUR po osnovi uplata/isplata preko računa u inozemstvu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tekstu: zahtjev za uplatu/isplatu – račun rezervi u EUR), za iznos uplaćenih/isplaćenih sredstava u EUR valuti,</w:t>
      </w:r>
    </w:p>
    <w:p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zahtjeva banke za povećanje/smanjenje računa rezervi u EUR po osnovi prijenosa sredstava s/na račun rezervi u KM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tekstu: zahtjev za internu kupnju/prodaju KM – račun rezervi EUR) za iznos protuvrijednosti sredstva u EUR valuti prenesenih s/na račun rezervi u KM.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(2) Radni dan je svaki radni dan kako je određeno propisom Centralne banke o utvrđivanju i održavanju obveznih rezervi i utvrđivanju naknade na iznos rezervi, osim za izvršavanje transakcija po računu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inozemstvu 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računu rezervi banke u EUR u pogledu čega se primjenjuju i radni dani Target sustava definirani propisima Eurosustava.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3.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(Podnošenje zahtjeva</w:t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(1) Banka podnosi zahtjev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>iz članka 2. stavak (1) ove odluke,</w:t>
      </w:r>
      <w:r>
        <w:rPr>
          <w:rFonts w:ascii="Times New Roman" w:eastAsia="Times New Roman" w:hAnsi="Times New Roman" w:cs="Times New Roman"/>
          <w:bCs/>
          <w:noProof/>
          <w:color w:val="FF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organizacijskom obliku nadležnom za poslove bankarstva u glavnoj jedinici ili filijali Centralne banke kod koje se vodi račun </w:t>
      </w:r>
      <w:r>
        <w:rPr>
          <w:rFonts w:ascii="Times New Roman" w:eastAsia="Times New Roman" w:hAnsi="Times New Roman" w:cs="Times New Roman"/>
          <w:bCs/>
          <w:noProof/>
          <w:color w:val="000000"/>
          <w:sz w:val="24"/>
          <w:szCs w:val="24"/>
        </w:rPr>
        <w:t xml:space="preserve">rezervi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u EUR te banke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tekstu: organizacijski oblik za bankarstvo).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 xml:space="preserve">(2) Podnošenje zahtjeva iz članka 2. stavak (1) ove odluke i njegovo potvrđivanje od strane organizacijskog oblika za bankarstvo vrši se putem 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softverske platforme elektroničkog međubankarskog tržišta novca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t xml:space="preserve">tekstu: EMTN).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(3) U slučaju nemogućnosti komunikacije putem EMTN-a (pad sustava EMTN ili u izuzetnim okolnostima uz obrazloženi pisani zahtjev banke kada se ne radi o padu sustava EMTN), s organizacijskim oblikom za bankarstvo, komunikacija se obavlja putem faksa ili e-pošte. U tom slučaju zahtjeve obvezno potpisuju ovlaštene osobe banke.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(4) Centralna banka realizira samo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uredno popunjene i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blagovremeno dostavljene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zahtjeve banaka, podnesene i potvrđene u skladu s ovom odlukom.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lastRenderedPageBreak/>
        <w:t>Članak 4.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Uplata sredstava na račun u inozemstvu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Kada se povećanje sredstava na računu rezervi u EUR vrši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uplatom sredstava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na račun Centralne banke u inozemstvu, Centralna banka kreira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nalog o uplati EUR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s datumom valute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do dva radna dana od datuma prijema zahtjeva banke iz članka 2. stavak (1) točka a) ove odluke koji je dužna dostaviti organizacijskom obliku za bankarstvo.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trike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(2) Ukoliko se radi o zahtjevu T+0, banka je dužna taj zahtjev dostaviti najkasnije do 14.00 sati, u suprotnom se zahtjev smatra zakašnjelim i odbijenim.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(3) Centralna banka potvrđuje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uredno popunjen i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blagovremeno dostavljen zahtjev banke, a banka najkasnije do 14.30 sati na dan uplate,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a nakon potvrde zahtjeva,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organizacijskom obliku za bankarstvo dostavlja SWIFT poruku MT202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ili pacs. 009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 kao dokaz o nalogu/instrukciji za uplatu sredstava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na račun Centralne banke u inozemstvu.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(4)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Centralna banka realizira nalog o uplati EUR na račun rezervi banke u EUR na datum s kojim je potvrđena uplata banke na 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inozemstvu</w:t>
      </w:r>
      <w:r>
        <w:rPr>
          <w:rFonts w:ascii="Times New Roman" w:eastAsia="Calibri" w:hAnsi="Times New Roman" w:cs="Times New Roman"/>
          <w:noProof/>
          <w:sz w:val="24"/>
          <w:szCs w:val="24"/>
        </w:rPr>
        <w:t>. Ukoliko uplata na 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inozemstvu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ne bude realizirana do 16:00 sati istog dana, realizacija naloga o uplati EUR na račun rezervi banke u EUR će biti naredni radni dan s ugovorenim datumom valute, ukoliko sredstva budu evidentirana narednog dana na izvodu računa Centralne banke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u inozemstvu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o čemu će banka biti blagovremeno obaviještena. Realizacija naloga o uplati s valutom naredni radni dan bit će u slučaju da sredstva budu odobrena na DB-CI (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 Cash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Inquiry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ili DB-DI (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 Direct Internet</w:t>
      </w:r>
      <w:r>
        <w:rPr>
          <w:rFonts w:ascii="Times New Roman" w:eastAsia="Calibri" w:hAnsi="Times New Roman" w:cs="Times New Roman"/>
          <w:noProof/>
          <w:sz w:val="24"/>
          <w:szCs w:val="24"/>
        </w:rPr>
        <w:t>) ili na računu kod neke druge inobanke kod koje Centralna banka ima otvoren račun najkasnije do 13.00 sati narednog radnog dana, pri čemu se primjenjuje pravilo T+1, a o čemu će banka biti blagovremeno obaviještena pisanim putem.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(5) Ukoliko uplata 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račun Centralne banke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 u inozemstvu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 ne bude realizirana u skladu sa </w:t>
      </w: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stavkom (4) ovog članka smatrat će se da je banka odustala od ugovorene transakcije, o čemu će banka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biti obaviještena pisanim putem, te će Centralna banka, u razumnom roku, izvršiti povrat sredstava u skladu s instrukcijom banke.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(6)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Realizacijom naloga o uplati odobrava se račun rezervi u EUR.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5.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(Isplata sredstva s računa u inozemstvu)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 xml:space="preserve">(1) Kada se smanjenje sredstava na računu rezervi u EUR vrši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isplatom u EUR valuti na račun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banke u inozemstvu, Centralna banka kreira nalog o isplati EUR s datumom valute od dva radna dana od datuma podnošenja zahtjeva (T+2), blokira sredstva na računu rezervi banke do momenta realizacije i potvrđuje zahtjev banke iz članka 2. stavak (1) točka a) ove odluke.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(2) Banka je dužna zahtjev iz stavka (1) ovog članka dostaviti organizacijskom obliku za bankarstvo najkasnije do 13.30 sati.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Ukoliko banka zahtjev iz stavka (1) ovog članka dostavi Centralnoj banci poslije 13.30 sati, a najkasnije do 14.30 sati, može odobriti takav zahtjev.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(4) Ukoliko zahtjev iz stavka (1) ovog članka bude dostavljen poslije 13.30 sati, odnosno zahtjev iz stavka (3) ovog članka bude dostavljen poslije 14.30 sati, zahtjev će biti odbijen.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(5) Centralna banka, u izuzetnim slučajevima, na temelju zahtjeva banke može odobriti i izvršiti isplatu u EUR valuti na račun banke u inozemstvu i s datumom valute od jedan radni dan (T+1) ili s datumom valute istog radnog dana (T+0), ako to mogućnosti dozvoljavaju. 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Banka je dužna zahtjev iz stavka (5) ovog članka dostaviti Centralnoj banci najkasnije do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11.00 sati za zahtjev s valutom isti radni dan (T+0), odnosno do 13.00 sati za zahtjev s valutom jedan radni dan (T+1).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(7) Ukoliko zahtjev s valutom (T+0) bude dostavljen poslije 11.00 sati, odnosno zahtjev s valutom (T+1) poslije 13.00 sati, bit će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  <w:lastRenderedPageBreak/>
        <w:t xml:space="preserve">(8) </w:t>
      </w:r>
      <w:r>
        <w:rPr>
          <w:rFonts w:ascii="Times New Roman" w:eastAsia="Calibri" w:hAnsi="Times New Roman" w:cs="Times New Roman"/>
          <w:noProof/>
          <w:color w:val="000000"/>
          <w:sz w:val="24"/>
          <w:szCs w:val="24"/>
        </w:rPr>
        <w:t>Realizacijom naloga o isplati EUR zadužuje se račun rezervi u EUR.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color w:val="000000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6.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(Prijenos sredstava s računa rezervi u KM na račun rezervi u EUR)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 xml:space="preserve">Kada se povećanje sredstava na računu rezervi u EUR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vrši prijenosom sredstava s računa rezervi u KM po zahtjevu banke iz članka 2. stavak (1) točka b) ove odluke, organizacijski oblik za bankarstvo kojem je podnesen zahtjev banke, kreira internu zaključnicu o kupnji KM ‒ račun rezervi u EUR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tekstu: interna zaključnica o kupnji KM</w:t>
      </w:r>
      <w:r>
        <w:rPr>
          <w:rFonts w:ascii="Times New Roman" w:eastAsia="Calibri" w:hAnsi="Times New Roman" w:cs="Times New Roman"/>
          <w:b/>
          <w:bCs/>
          <w:noProof/>
          <w:color w:val="0D0D0D"/>
          <w:sz w:val="24"/>
          <w:szCs w:val="24"/>
        </w:rPr>
        <w:t xml:space="preserve">)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i potvrđuje zahtjev.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Interna zaljučnica o kupnji KM kreira se s datumom valute istog dana kada je i podnesen zahtjev, u slučaju da banka podnosi zahtjev do 14:00 sati. Ukoliko zahtjev bude dostavljen poslije 14:00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Kada banka podnosi zahtjev iz stavka (1) ovog članka s datumom valute od jedan radni dan od datuma podnošenja zahtjeva, organizacijski oblik za bankarstvo kreira internu zaključnicu o kupnji KM s datumom naznačenim u zahtjevu banke. U ovom slučaju banka podnosi zahtjev do 15:00 sati. Ukoliko zahtjev bude dostavljen poslije 15:00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(4) </w:t>
      </w:r>
      <w:bookmarkStart w:id="0" w:name="_Hlk117004475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Kreiranjem interne zaključnice o kupnji KM iz stavaka (2) i (3) ovog članka, blokiraju se sredstva na računu rezervi u KM do trenutka realizacije.</w:t>
      </w:r>
    </w:p>
    <w:bookmarkEnd w:id="0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(5) Realizacijom interne zaključnice o kupnji KM, u svrhu prijenosa sredstava s računa rezervi u KM na račun rezervi u EUR, s istim datumom valute zadužuje se račun rezervi u KM i istovremeno odobrava račun rezervi u EUR.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S obzirom na to da interna zaključnica o kupnji KM realizirana u svrhu povećanja sredstva na računu rezervi u EUR nema za posljedice promjenu stanja na računu Centralne banke u inozemstvu, nije potrebno kreirati platne naloge, odnosno SWIFT poruke MT 202.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7.</w:t>
      </w:r>
    </w:p>
    <w:p>
      <w:pPr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(Prijenos sredstava s računa rezervi u EUR na račun rezervi u KM)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(1) </w:t>
      </w:r>
      <w:r>
        <w:rPr>
          <w:rFonts w:ascii="Times New Roman" w:eastAsia="Calibri" w:hAnsi="Times New Roman" w:cs="Times New Roman"/>
          <w:bCs/>
          <w:noProof/>
          <w:color w:val="0D0D0D"/>
          <w:sz w:val="24"/>
          <w:szCs w:val="24"/>
        </w:rPr>
        <w:t>Kada se smanjenje sredstava na računu rezervi u EUR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vrši prijenosom sredstava na račun rezervi u KM po zahtjevu banke iz članka 2. stavak (1) točka b) ove odluke, organizacijski oblik za bankarstvo kojem je podnesen zahtjev banke, kreira internu zaključnicu o prodaji KM – račun rezervi u EUR (u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daljnjem 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tekstu: interna zaključnica o prodaji KM) i potvrđuje zahtjev.</w:t>
      </w:r>
    </w:p>
    <w:p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(2) Interna zaljučnica o prodaji KM kreira se s datumom valute istog dana kada je i podnesen zahtjev, u slučaju da banka podnosi zahtjev do 14:00 sati. Ukoliko zahtjev bude dostavljen poslije 14:00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(3) Kada banka podnosi zahtjev iz stavka (1) ovog članka s datumom valute od jedan radni dan od datuma podnošenja zahtjeva, organizacijski oblik za bankarstvo kreira internu zaključnicu o prodaji KM s datumom naznačenim u zahtjevu banke. U ovom slučaju, banka podnosi zahtjev do 15:00 sati. Ukoliko zahtjev bude dostavljen poslije 15:00 sati, on će biti odbijen.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(4) </w:t>
      </w:r>
      <w:bookmarkStart w:id="1" w:name="_Hlk117004608"/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>Kreiranjem interne zaključnice o prodaji KM iz stavaka (2) i (3) ovog članka, blokiraju se sredstva na računu rezervi u EUR do trenutka realizacije.</w:t>
      </w:r>
    </w:p>
    <w:bookmarkEnd w:id="1"/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(5) Realizacijom interne zaključnice o prodaji KM, u svrhu prijenosa sredstva s računa rezervi u EUR na račun rezervi u KM, s istim datumom valute zadužuje se račun rezervi u EUR i istovremeno odobrava račun rezervi u KM. 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(6) S obzirom na to da interna zaključnica o prodaji KM realizirana u svrhu smanjenja sredstva na računu rezervi u EUR nema za posljedice promjenu stanja na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računu Centralne banke u inozemstvu, nije potrebno kreirati platne naloge, odnosno SWIFT poruke MT 202</w:t>
      </w:r>
      <w:r>
        <w:rPr>
          <w:rFonts w:ascii="Times New Roman" w:eastAsia="Calibri" w:hAnsi="Times New Roman" w:cs="Times New Roman"/>
          <w:noProof/>
          <w:color w:val="0D0D0D"/>
          <w:sz w:val="24"/>
          <w:szCs w:val="24"/>
        </w:rPr>
        <w:t xml:space="preserve"> ili pacs. 009.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Članak 8.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(Naknada)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(1) Centralna banka vrši obračun naknade, u skladu s propisom o tarifi naknada Centralne banke, koji automatski putem EMTN-a (potvrdom zahtjeva) dostavlja banci.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(2) Naplata naknade iz stavka (1) ovog članka vrši se na mjesečnoj razini zaduživanjem računa rezervi banke u KM u korist računa Centralnog ureda Centralne banke.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9.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(Račun Centralne banke u inozemstvu)</w:t>
      </w:r>
    </w:p>
    <w:p>
      <w:pPr>
        <w:spacing w:after="0" w:line="24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U slučaju nedostupnosti ili nemogućnosti obavljanja transakcija putem računa Centralne banke iz članka 4. ove odluke otvorenog kod </w:t>
      </w:r>
      <w:r>
        <w:rPr>
          <w:rFonts w:ascii="Times New Roman" w:eastAsia="Calibri" w:hAnsi="Times New Roman" w:cs="Times New Roman"/>
          <w:i/>
          <w:noProof/>
          <w:sz w:val="24"/>
          <w:szCs w:val="24"/>
        </w:rPr>
        <w:t>Deutsche Bank</w:t>
      </w:r>
      <w:r>
        <w:rPr>
          <w:rFonts w:ascii="Times New Roman" w:eastAsia="Calibri" w:hAnsi="Times New Roman" w:cs="Times New Roman"/>
          <w:noProof/>
          <w:sz w:val="24"/>
          <w:szCs w:val="24"/>
        </w:rPr>
        <w:t>, Centralna banka će bankama pisanim putem dostaviti obavijest o drugom računu Centralne banke sa svim potrebnim instrukcijama za plaćanje, te će pratiti i provjeravati status transakcije drugim kanalom komunikacije.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szCs w:val="24"/>
        </w:rPr>
      </w:pP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Članak 10.</w:t>
      </w:r>
    </w:p>
    <w:p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>(Stupanje na snagu i objavljivanje)</w:t>
      </w:r>
    </w:p>
    <w:p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t xml:space="preserve">(1) Ova odluka stupa na snagu osmog dana od dana objavljivanja u „Službenom glasniku BiH“, a primjenjuje se </w:t>
      </w:r>
      <w:r>
        <w:rPr>
          <w:rFonts w:ascii="Times New Roman" w:eastAsia="Times New Roman" w:hAnsi="Times New Roman" w:cs="Times New Roman"/>
          <w:noProof/>
          <w:color w:val="0D0D0D"/>
          <w:sz w:val="24"/>
          <w:szCs w:val="24"/>
        </w:rPr>
        <w:t>od 01.01.2024. godine.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(2) Ova odluka </w:t>
      </w:r>
      <w:r>
        <w:rPr>
          <w:rFonts w:ascii="Times New Roman" w:hAnsi="Times New Roman" w:cs="Times New Roman"/>
          <w:sz w:val="24"/>
          <w:szCs w:val="24"/>
          <w:lang w:val="bs-Latn-BA"/>
        </w:rPr>
        <w:t>objavit će se i</w:t>
      </w:r>
      <w:r>
        <w:rPr>
          <w:rFonts w:ascii="Times New Roman" w:eastAsia="Calibri" w:hAnsi="Times New Roman" w:cs="Times New Roman"/>
          <w:sz w:val="24"/>
          <w:szCs w:val="24"/>
          <w:lang w:val="bs-Latn-BA"/>
        </w:rPr>
        <w:t xml:space="preserve"> u „Službenim novinama Federacije BiH“, „Službenom glasniku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Republike Srpske“ i „Službenom glasniku Brčko distrikta BiH“.</w:t>
      </w: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Cs/>
          <w:noProof/>
          <w:sz w:val="24"/>
          <w:szCs w:val="24"/>
        </w:rPr>
      </w:pP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Predsjedatelj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ab/>
        <w:t>Upravnog vijeća Centralne banke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Broj:</w:t>
      </w:r>
      <w:bookmarkStart w:id="2" w:name="_GoBack"/>
      <w:bookmarkEnd w:id="2"/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noProof/>
          <w:sz w:val="24"/>
          <w:szCs w:val="24"/>
        </w:rPr>
        <w:t>UV-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122-02-1-1499-5</w:t>
      </w:r>
      <w:r>
        <w:rPr>
          <w:rFonts w:ascii="Times New Roman" w:eastAsia="Calibri" w:hAnsi="Times New Roman" w:cs="Times New Roman"/>
          <w:noProof/>
          <w:sz w:val="24"/>
          <w:szCs w:val="24"/>
        </w:rPr>
        <w:t>/23</w:t>
      </w:r>
      <w:r>
        <w:rPr>
          <w:rFonts w:ascii="Times New Roman" w:eastAsia="Calibri" w:hAnsi="Times New Roman" w:cs="Times New Roman"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Bosne i Hercegovine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noProof/>
          <w:sz w:val="24"/>
          <w:szCs w:val="24"/>
        </w:rPr>
        <w:t>Sarajevo, 29.08.2023. godine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t>GUVERNER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eastAsia="Calibri" w:hAnsi="Times New Roman" w:cs="Times New Roman"/>
          <w:bCs/>
          <w:noProof/>
          <w:sz w:val="24"/>
          <w:szCs w:val="24"/>
        </w:rPr>
        <w:tab/>
      </w:r>
      <w:r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dr. Senad Softić</w:t>
      </w:r>
    </w:p>
    <w:p>
      <w:pPr>
        <w:tabs>
          <w:tab w:val="center" w:pos="7088"/>
        </w:tabs>
        <w:spacing w:after="0" w:line="240" w:lineRule="auto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sectPr>
      <w:foot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88540757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>
            <w:pPr>
              <w:pStyle w:val="Footer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161AE"/>
    <w:multiLevelType w:val="hybridMultilevel"/>
    <w:tmpl w:val="4BD0D0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0CC7"/>
    <w:multiLevelType w:val="hybridMultilevel"/>
    <w:tmpl w:val="C674C48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38E0081"/>
    <w:multiLevelType w:val="hybridMultilevel"/>
    <w:tmpl w:val="F102A242"/>
    <w:lvl w:ilvl="0" w:tplc="58B0C914">
      <w:start w:val="1"/>
      <w:numFmt w:val="lowerLetter"/>
      <w:lvlText w:val="%1)"/>
      <w:lvlJc w:val="left"/>
      <w:pPr>
        <w:ind w:left="719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39" w:hanging="360"/>
      </w:pPr>
    </w:lvl>
    <w:lvl w:ilvl="2" w:tplc="0409001B" w:tentative="1">
      <w:start w:val="1"/>
      <w:numFmt w:val="lowerRoman"/>
      <w:lvlText w:val="%3."/>
      <w:lvlJc w:val="right"/>
      <w:pPr>
        <w:ind w:left="2159" w:hanging="180"/>
      </w:pPr>
    </w:lvl>
    <w:lvl w:ilvl="3" w:tplc="0409000F" w:tentative="1">
      <w:start w:val="1"/>
      <w:numFmt w:val="decimal"/>
      <w:lvlText w:val="%4."/>
      <w:lvlJc w:val="left"/>
      <w:pPr>
        <w:ind w:left="2879" w:hanging="360"/>
      </w:pPr>
    </w:lvl>
    <w:lvl w:ilvl="4" w:tplc="04090019" w:tentative="1">
      <w:start w:val="1"/>
      <w:numFmt w:val="lowerLetter"/>
      <w:lvlText w:val="%5."/>
      <w:lvlJc w:val="left"/>
      <w:pPr>
        <w:ind w:left="3599" w:hanging="360"/>
      </w:pPr>
    </w:lvl>
    <w:lvl w:ilvl="5" w:tplc="0409001B" w:tentative="1">
      <w:start w:val="1"/>
      <w:numFmt w:val="lowerRoman"/>
      <w:lvlText w:val="%6."/>
      <w:lvlJc w:val="right"/>
      <w:pPr>
        <w:ind w:left="4319" w:hanging="180"/>
      </w:pPr>
    </w:lvl>
    <w:lvl w:ilvl="6" w:tplc="0409000F" w:tentative="1">
      <w:start w:val="1"/>
      <w:numFmt w:val="decimal"/>
      <w:lvlText w:val="%7."/>
      <w:lvlJc w:val="left"/>
      <w:pPr>
        <w:ind w:left="5039" w:hanging="360"/>
      </w:pPr>
    </w:lvl>
    <w:lvl w:ilvl="7" w:tplc="04090019" w:tentative="1">
      <w:start w:val="1"/>
      <w:numFmt w:val="lowerLetter"/>
      <w:lvlText w:val="%8."/>
      <w:lvlJc w:val="left"/>
      <w:pPr>
        <w:ind w:left="5759" w:hanging="360"/>
      </w:pPr>
    </w:lvl>
    <w:lvl w:ilvl="8" w:tplc="040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3" w15:restartNumberingAfterBreak="0">
    <w:nsid w:val="0B294D57"/>
    <w:multiLevelType w:val="hybridMultilevel"/>
    <w:tmpl w:val="6B6A5694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141A0019" w:tentative="1">
      <w:start w:val="1"/>
      <w:numFmt w:val="lowerLetter"/>
      <w:lvlText w:val="%2."/>
      <w:lvlJc w:val="left"/>
      <w:pPr>
        <w:ind w:left="2160" w:hanging="360"/>
      </w:pPr>
    </w:lvl>
    <w:lvl w:ilvl="2" w:tplc="141A001B" w:tentative="1">
      <w:start w:val="1"/>
      <w:numFmt w:val="lowerRoman"/>
      <w:lvlText w:val="%3."/>
      <w:lvlJc w:val="right"/>
      <w:pPr>
        <w:ind w:left="2880" w:hanging="180"/>
      </w:pPr>
    </w:lvl>
    <w:lvl w:ilvl="3" w:tplc="141A000F" w:tentative="1">
      <w:start w:val="1"/>
      <w:numFmt w:val="decimal"/>
      <w:lvlText w:val="%4."/>
      <w:lvlJc w:val="left"/>
      <w:pPr>
        <w:ind w:left="3600" w:hanging="360"/>
      </w:pPr>
    </w:lvl>
    <w:lvl w:ilvl="4" w:tplc="141A0019" w:tentative="1">
      <w:start w:val="1"/>
      <w:numFmt w:val="lowerLetter"/>
      <w:lvlText w:val="%5."/>
      <w:lvlJc w:val="left"/>
      <w:pPr>
        <w:ind w:left="4320" w:hanging="360"/>
      </w:pPr>
    </w:lvl>
    <w:lvl w:ilvl="5" w:tplc="141A001B" w:tentative="1">
      <w:start w:val="1"/>
      <w:numFmt w:val="lowerRoman"/>
      <w:lvlText w:val="%6."/>
      <w:lvlJc w:val="right"/>
      <w:pPr>
        <w:ind w:left="5040" w:hanging="180"/>
      </w:pPr>
    </w:lvl>
    <w:lvl w:ilvl="6" w:tplc="141A000F" w:tentative="1">
      <w:start w:val="1"/>
      <w:numFmt w:val="decimal"/>
      <w:lvlText w:val="%7."/>
      <w:lvlJc w:val="left"/>
      <w:pPr>
        <w:ind w:left="5760" w:hanging="360"/>
      </w:pPr>
    </w:lvl>
    <w:lvl w:ilvl="7" w:tplc="141A0019" w:tentative="1">
      <w:start w:val="1"/>
      <w:numFmt w:val="lowerLetter"/>
      <w:lvlText w:val="%8."/>
      <w:lvlJc w:val="left"/>
      <w:pPr>
        <w:ind w:left="6480" w:hanging="360"/>
      </w:pPr>
    </w:lvl>
    <w:lvl w:ilvl="8" w:tplc="1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BAE455E"/>
    <w:multiLevelType w:val="hybridMultilevel"/>
    <w:tmpl w:val="F1F4BF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0847D5"/>
    <w:multiLevelType w:val="hybridMultilevel"/>
    <w:tmpl w:val="ED08D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9C01B4"/>
    <w:multiLevelType w:val="hybridMultilevel"/>
    <w:tmpl w:val="A56A4FB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4D65B3"/>
    <w:multiLevelType w:val="hybridMultilevel"/>
    <w:tmpl w:val="A01AAB1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A46412"/>
    <w:multiLevelType w:val="hybridMultilevel"/>
    <w:tmpl w:val="A53696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B76C2B6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4B5A93"/>
    <w:multiLevelType w:val="hybridMultilevel"/>
    <w:tmpl w:val="16EA51F8"/>
    <w:lvl w:ilvl="0" w:tplc="7972AC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F9E4B81"/>
    <w:multiLevelType w:val="hybridMultilevel"/>
    <w:tmpl w:val="C982F7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664E6C"/>
    <w:multiLevelType w:val="hybridMultilevel"/>
    <w:tmpl w:val="75E6550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324817"/>
    <w:multiLevelType w:val="hybridMultilevel"/>
    <w:tmpl w:val="DB445C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810FC7"/>
    <w:multiLevelType w:val="hybridMultilevel"/>
    <w:tmpl w:val="12E438A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CA06D7"/>
    <w:multiLevelType w:val="hybridMultilevel"/>
    <w:tmpl w:val="4C386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129C5"/>
    <w:multiLevelType w:val="hybridMultilevel"/>
    <w:tmpl w:val="EB6AED1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7752A4"/>
    <w:multiLevelType w:val="hybridMultilevel"/>
    <w:tmpl w:val="5E36993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EA331A"/>
    <w:multiLevelType w:val="hybridMultilevel"/>
    <w:tmpl w:val="3DFC70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111FAB"/>
    <w:multiLevelType w:val="hybridMultilevel"/>
    <w:tmpl w:val="1D8CE7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7012F3"/>
    <w:multiLevelType w:val="hybridMultilevel"/>
    <w:tmpl w:val="8D2A1244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B66FED"/>
    <w:multiLevelType w:val="hybridMultilevel"/>
    <w:tmpl w:val="805CF16E"/>
    <w:lvl w:ilvl="0" w:tplc="141A0017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305C4"/>
    <w:multiLevelType w:val="hybridMultilevel"/>
    <w:tmpl w:val="D728A7A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E777D"/>
    <w:multiLevelType w:val="hybridMultilevel"/>
    <w:tmpl w:val="91A053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E26657"/>
    <w:multiLevelType w:val="hybridMultilevel"/>
    <w:tmpl w:val="D4682B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9B76E7C"/>
    <w:multiLevelType w:val="hybridMultilevel"/>
    <w:tmpl w:val="E84A0D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D24F12"/>
    <w:multiLevelType w:val="hybridMultilevel"/>
    <w:tmpl w:val="781081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352CC8"/>
    <w:multiLevelType w:val="hybridMultilevel"/>
    <w:tmpl w:val="4AF28F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1C15B2"/>
    <w:multiLevelType w:val="hybridMultilevel"/>
    <w:tmpl w:val="135AC2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A637E0"/>
    <w:multiLevelType w:val="hybridMultilevel"/>
    <w:tmpl w:val="861452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EAD3961"/>
    <w:multiLevelType w:val="hybridMultilevel"/>
    <w:tmpl w:val="4920E544"/>
    <w:lvl w:ilvl="0" w:tplc="6052B80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227AF1"/>
    <w:multiLevelType w:val="hybridMultilevel"/>
    <w:tmpl w:val="7578E1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91E99"/>
    <w:multiLevelType w:val="hybridMultilevel"/>
    <w:tmpl w:val="25B4DD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E526F5"/>
    <w:multiLevelType w:val="hybridMultilevel"/>
    <w:tmpl w:val="8DE05CAC"/>
    <w:lvl w:ilvl="0" w:tplc="15023EEC">
      <w:start w:val="1"/>
      <w:numFmt w:val="lowerLetter"/>
      <w:lvlText w:val="%1)"/>
      <w:lvlJc w:val="left"/>
      <w:pPr>
        <w:ind w:left="144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800" w:hanging="360"/>
      </w:pPr>
    </w:lvl>
    <w:lvl w:ilvl="2" w:tplc="141A001B" w:tentative="1">
      <w:start w:val="1"/>
      <w:numFmt w:val="lowerRoman"/>
      <w:lvlText w:val="%3."/>
      <w:lvlJc w:val="right"/>
      <w:pPr>
        <w:ind w:left="2520" w:hanging="180"/>
      </w:pPr>
    </w:lvl>
    <w:lvl w:ilvl="3" w:tplc="141A000F" w:tentative="1">
      <w:start w:val="1"/>
      <w:numFmt w:val="decimal"/>
      <w:lvlText w:val="%4."/>
      <w:lvlJc w:val="left"/>
      <w:pPr>
        <w:ind w:left="3240" w:hanging="360"/>
      </w:pPr>
    </w:lvl>
    <w:lvl w:ilvl="4" w:tplc="141A0019" w:tentative="1">
      <w:start w:val="1"/>
      <w:numFmt w:val="lowerLetter"/>
      <w:lvlText w:val="%5."/>
      <w:lvlJc w:val="left"/>
      <w:pPr>
        <w:ind w:left="3960" w:hanging="360"/>
      </w:pPr>
    </w:lvl>
    <w:lvl w:ilvl="5" w:tplc="141A001B" w:tentative="1">
      <w:start w:val="1"/>
      <w:numFmt w:val="lowerRoman"/>
      <w:lvlText w:val="%6."/>
      <w:lvlJc w:val="right"/>
      <w:pPr>
        <w:ind w:left="4680" w:hanging="180"/>
      </w:pPr>
    </w:lvl>
    <w:lvl w:ilvl="6" w:tplc="141A000F" w:tentative="1">
      <w:start w:val="1"/>
      <w:numFmt w:val="decimal"/>
      <w:lvlText w:val="%7."/>
      <w:lvlJc w:val="left"/>
      <w:pPr>
        <w:ind w:left="5400" w:hanging="360"/>
      </w:pPr>
    </w:lvl>
    <w:lvl w:ilvl="7" w:tplc="141A0019" w:tentative="1">
      <w:start w:val="1"/>
      <w:numFmt w:val="lowerLetter"/>
      <w:lvlText w:val="%8."/>
      <w:lvlJc w:val="left"/>
      <w:pPr>
        <w:ind w:left="6120" w:hanging="360"/>
      </w:pPr>
    </w:lvl>
    <w:lvl w:ilvl="8" w:tplc="1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CC145E2"/>
    <w:multiLevelType w:val="hybridMultilevel"/>
    <w:tmpl w:val="46E4FB4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423F2"/>
    <w:multiLevelType w:val="hybridMultilevel"/>
    <w:tmpl w:val="4642E2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503F4"/>
    <w:multiLevelType w:val="hybridMultilevel"/>
    <w:tmpl w:val="D42C4FA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D1146B"/>
    <w:multiLevelType w:val="hybridMultilevel"/>
    <w:tmpl w:val="EB3AA09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523DB3"/>
    <w:multiLevelType w:val="hybridMultilevel"/>
    <w:tmpl w:val="73502A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B2E0F"/>
    <w:multiLevelType w:val="hybridMultilevel"/>
    <w:tmpl w:val="407C2E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F95418"/>
    <w:multiLevelType w:val="hybridMultilevel"/>
    <w:tmpl w:val="D2C68B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7F7BFF"/>
    <w:multiLevelType w:val="hybridMultilevel"/>
    <w:tmpl w:val="633E9AC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95F9B"/>
    <w:multiLevelType w:val="hybridMultilevel"/>
    <w:tmpl w:val="3A5C682A"/>
    <w:lvl w:ilvl="0" w:tplc="15023EE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0F1E62"/>
    <w:multiLevelType w:val="hybridMultilevel"/>
    <w:tmpl w:val="7FDCC12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17"/>
  </w:num>
  <w:num w:numId="4">
    <w:abstractNumId w:val="5"/>
  </w:num>
  <w:num w:numId="5">
    <w:abstractNumId w:val="39"/>
  </w:num>
  <w:num w:numId="6">
    <w:abstractNumId w:val="38"/>
  </w:num>
  <w:num w:numId="7">
    <w:abstractNumId w:val="2"/>
  </w:num>
  <w:num w:numId="8">
    <w:abstractNumId w:val="34"/>
  </w:num>
  <w:num w:numId="9">
    <w:abstractNumId w:val="35"/>
  </w:num>
  <w:num w:numId="10">
    <w:abstractNumId w:val="30"/>
  </w:num>
  <w:num w:numId="11">
    <w:abstractNumId w:val="8"/>
  </w:num>
  <w:num w:numId="12">
    <w:abstractNumId w:val="42"/>
  </w:num>
  <w:num w:numId="13">
    <w:abstractNumId w:val="27"/>
  </w:num>
  <w:num w:numId="14">
    <w:abstractNumId w:val="12"/>
  </w:num>
  <w:num w:numId="15">
    <w:abstractNumId w:val="24"/>
  </w:num>
  <w:num w:numId="16">
    <w:abstractNumId w:val="26"/>
  </w:num>
  <w:num w:numId="17">
    <w:abstractNumId w:val="0"/>
  </w:num>
  <w:num w:numId="18">
    <w:abstractNumId w:val="16"/>
  </w:num>
  <w:num w:numId="19">
    <w:abstractNumId w:val="22"/>
  </w:num>
  <w:num w:numId="20">
    <w:abstractNumId w:val="25"/>
  </w:num>
  <w:num w:numId="21">
    <w:abstractNumId w:val="15"/>
  </w:num>
  <w:num w:numId="22">
    <w:abstractNumId w:val="21"/>
  </w:num>
  <w:num w:numId="23">
    <w:abstractNumId w:val="11"/>
  </w:num>
  <w:num w:numId="24">
    <w:abstractNumId w:val="7"/>
  </w:num>
  <w:num w:numId="25">
    <w:abstractNumId w:val="20"/>
  </w:num>
  <w:num w:numId="26">
    <w:abstractNumId w:val="33"/>
  </w:num>
  <w:num w:numId="27">
    <w:abstractNumId w:val="13"/>
  </w:num>
  <w:num w:numId="28">
    <w:abstractNumId w:val="37"/>
  </w:num>
  <w:num w:numId="29">
    <w:abstractNumId w:val="28"/>
  </w:num>
  <w:num w:numId="30">
    <w:abstractNumId w:val="6"/>
  </w:num>
  <w:num w:numId="31">
    <w:abstractNumId w:val="3"/>
  </w:num>
  <w:num w:numId="32">
    <w:abstractNumId w:val="1"/>
  </w:num>
  <w:num w:numId="33">
    <w:abstractNumId w:val="10"/>
  </w:num>
  <w:num w:numId="34">
    <w:abstractNumId w:val="40"/>
  </w:num>
  <w:num w:numId="35">
    <w:abstractNumId w:val="4"/>
  </w:num>
  <w:num w:numId="36">
    <w:abstractNumId w:val="18"/>
  </w:num>
  <w:num w:numId="37">
    <w:abstractNumId w:val="23"/>
  </w:num>
  <w:num w:numId="38">
    <w:abstractNumId w:val="36"/>
  </w:num>
  <w:num w:numId="39">
    <w:abstractNumId w:val="41"/>
  </w:num>
  <w:num w:numId="40">
    <w:abstractNumId w:val="32"/>
  </w:num>
  <w:num w:numId="41">
    <w:abstractNumId w:val="31"/>
  </w:num>
  <w:num w:numId="42">
    <w:abstractNumId w:val="14"/>
  </w:num>
  <w:num w:numId="43">
    <w:abstractNumId w:val="9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BEDFB5-205A-484D-9D7B-440DF01F4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Latn-BA"/>
    </w:rPr>
  </w:style>
  <w:style w:type="paragraph" w:styleId="Heading3">
    <w:name w:val="heading 3"/>
    <w:basedOn w:val="Normal"/>
    <w:next w:val="Normal"/>
    <w:link w:val="Heading3Char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Pr>
      <w:rFonts w:ascii="Times New Roman" w:eastAsia="Times New Roman" w:hAnsi="Times New Roman" w:cs="Times New Roman"/>
      <w:b/>
      <w:sz w:val="24"/>
      <w:szCs w:val="24"/>
      <w:lang w:val="hr-HR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  <w:lang w:val="sr-Latn-BA"/>
    </w:r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en-US"/>
    </w:rPr>
  </w:style>
  <w:style w:type="character" w:customStyle="1" w:styleId="TitleChar">
    <w:name w:val="Title Char"/>
    <w:basedOn w:val="DefaultParagraphFont"/>
    <w:link w:val="Title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sr-Latn-BA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sr-Latn-BA"/>
    </w:rPr>
  </w:style>
  <w:style w:type="paragraph" w:styleId="FootnoteText">
    <w:name w:val="footnote text"/>
    <w:basedOn w:val="Normal"/>
    <w:link w:val="FootnoteTextChar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uiPriority w:val="99"/>
    <w:rPr>
      <w:vertAlign w:val="superscript"/>
    </w:rPr>
  </w:style>
  <w:style w:type="table" w:styleId="TableGrid">
    <w:name w:val="Table Grid"/>
    <w:basedOn w:val="TableNormal"/>
    <w:uiPriority w:val="39"/>
    <w:pPr>
      <w:spacing w:after="0" w:line="240" w:lineRule="auto"/>
    </w:pPr>
    <w:rPr>
      <w:rFonts w:ascii="Calibri" w:eastAsia="Calibri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lang w:val="sr-Latn-B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  <w:lang w:val="sr-Latn-BA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90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51256-CEE2-46B6-B422-6693A2762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1677</Words>
  <Characters>9564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Nedjo Gutalj</dc:creator>
  <cp:lastModifiedBy>Damir Soco</cp:lastModifiedBy>
  <cp:revision>14</cp:revision>
  <cp:lastPrinted>2023-08-29T13:22:00Z</cp:lastPrinted>
  <dcterms:created xsi:type="dcterms:W3CDTF">2023-07-27T17:34:00Z</dcterms:created>
  <dcterms:modified xsi:type="dcterms:W3CDTF">2023-08-31T13:58:00Z</dcterms:modified>
</cp:coreProperties>
</file>