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 temelju članka 7. stavak 1. točka b) i članaka 36. i 70. Zakona o Centralnoj banci Bosne i Hercegovine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(„Službeni glasnik BiH“, br. 1/97, 29/02, 8/03, 13/03, 14/03, 9/05, 76/06 i 32/07),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Upravno vijeće Centralne banke Bosne i Hercegovine, na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7. sjednici održanoj 28.07.2023. godine i 8. sjednici održanoj 29.08.2023. godine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, donosi</w:t>
      </w: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 načinu obavljanja transakcija povećanja i smanjenja sredstava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na računu rezervi u EUR  </w:t>
      </w: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1.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(Predmet odluke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Ovom odlukom uređuje se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način obavljanja transakcija povećanja i smanjenja </w:t>
      </w: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</w:rPr>
        <w:t>sredsta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va na računu rezervi u EUR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koje Centralna banka Bosne i Hercegovine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tekstu: Centralna banka) obavlja s bankama u Bosni i Hercegovini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tekstu: banka) u skladu s propisom Centralne banke o utvrđivanju i održavanju obveznih rezervi i utvrđivanju naknade na iznos rezervi.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2.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(Povećanje i smanjenje sredstava na računu rezervi u EUR)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(1) Centralna banka vrši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povećanja i smanjenja sredstva na računu rezervi u EUR na temelju zahtjeva banke i to:</w:t>
      </w:r>
    </w:p>
    <w:p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zahtjeva banke za povećanje/smanjenje računa rezervi u EUR po osnovi uplata/isplata preko računa u inozemstvu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tekstu: zahtjev za uplatu/isplatu – račun rezervi u EUR), za iznos uplaćenih/isplaćenih sredstava u EUR valuti,</w:t>
      </w:r>
    </w:p>
    <w:p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zahtjeva banke za povećanje/smanjenje računa rezervi u EUR po osnovi prijenosa sredstava s/na račun rezervi u KM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tekstu: zahtjev za internu kupnju/prodaju KM – račun rezervi EUR) za iznos protuvrijednosti sredstva u EUR valuti prenesenih s/na račun rezervi u KM.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(2) Radni dan je svaki radni dan kako je određeno propisom Centralne banke o utvrđivanju i održavanju obveznih rezervi i utvrđivanju naknade na iznos rezervi, osim za izvršavanje transakcija po računu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inozemstvu 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računu rezervi banke u EUR u pogledu čega se primjenjuju i radni dani Target sustava definirani propisima Eurosustava.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3.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(Podnošenje zahtjeva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(1) Banka podnosi zahtjev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iz članka 2. stavak (1) ove odluke,</w: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organizacijskom obliku nadležnom za poslove bankarstva u glavnoj jedinici ili filijali Centralne banke kod koje se vodi račun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rezervi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u EUR te banke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tekstu: organizacijski oblik za bankarstvo).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(2) Podnošenje zahtjeva iz članka 2. stavak (1) ove odluke i njegovo potvrđivanje od strane organizacijskog oblika za bankarstvo vrši se putem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softverske platforme elektroničkog međubankarskog tržišta novca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tekstu: EMTN).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(3) U slučaju nemogućnosti komunikacije putem EMTN-a (pad sustava EMTN ili u izuzetnim okolnostima uz obrazloženi pisani zahtjev banke kada se ne radi o padu sustava EMTN), s organizacijskim oblikom za bankarstvo, komunikacija se obavlja putem faksa ili e-pošte. U tom slučaju zahtjeve obvezno potpisuju ovlaštene osobe banke.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(4) Centralna banka realizira samo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uredno popunjene i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blagovremeno dostavljene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zahtjeve banaka, podnesene i potvrđene u skladu s ovom odlukom.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Članak 4.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Uplata sredstava na račun u inozemstvu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(1) Kada se povećanje sredstava na računu rezervi u EUR vrši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uplatom sredstava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na račun Centralne banke u inozemstvu, Centralna banka kreira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nalog o uplati EUR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s datumom valute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do dva radna dana od datuma prijema zahtjeva banke iz članka 2. stavak (1) točka a) ove odluke koji je dužna dostaviti organizacijskom obliku za bankarstvo.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(2) Ukoliko se radi o zahtjevu T+0, banka je dužna taj zahtjev dostaviti najkasnije do 14.00 sati, u suprotnom se zahtjev smatra zakašnjelim i odbijenim.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(3) Centralna banka potvrđuje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uredno popunjen i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blagovremeno dostavljen zahtjev banke, a banka najkasnije do 14.30 sati na dan uplate,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 nakon potvrde zahtjeva,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organizacijskom obliku za bankarstvo dostavlja SWIFT poruku MT202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ili pacs. 009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 kao dokaz o nalogu/instrukciji za uplatu sredstava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na račun Centralne banke u inozemstvu.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(4)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Centralna banka realizira nalog o uplati EUR na račun rezervi banke u EUR na datum s kojim je potvrđena uplata banke na račun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inozemstvu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 Ukoliko uplata na račun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inozemstvu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ne bude realizirana do 16:00 sati istog dana, realizacija naloga o uplati EUR na račun rezervi banke u EUR će biti naredni radni dan s ugovorenim datumom valute, ukoliko sredstva budu evidentirana narednog dana na izvodu računa Centralne banke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u inozemstvu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o čemu će banka biti blagovremeno obaviještena. Realizacija naloga o uplati s valutom naredni radni dan bit će u slučaju da sredstva budu odobrena na DB-CI (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Deutsche Bank Cash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Inquiry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 ili DB-DI (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Deutsche Bank Direct Internet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 ili na računu kod neke druge inobanke kod koje Centralna banka ima otvoren račun najkasnije do 13.00 sati narednog radnog dana, pri čemu se primjenjuje pravilo T+1, a o čemu će banka biti blagovremeno obaviještena pisanim putem.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(5) Ukoliko uplata 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račun Centralne banke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inozemstvu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 ne bude realizirana u skladu sa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stavkom (4) ovog članka smatrat će se da je banka odustala od ugovorene transakcije, o čemu će banka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biti obaviještena pisanim putem, te će Centralna banka, u razumnom roku, izvršiti povrat sredstava u skladu s instrukcijom banke.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(6)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Realizacijom naloga o uplati odobrava se račun rezervi u EUR.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5.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(Isplata sredstva s računa u inozemstvu)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(1) Kada se smanjenje sredstava na računu rezervi u EUR vrši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isplatom u EUR valuti na račun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banke u inozemstvu, Centralna banka kreira nalog o isplati EUR s datumom valute od dva radna dana od datuma podnošenja zahtjeva (T+2), blokira sredstva na računu rezervi banke do momenta realizacije i potvrđuje zahtjev banke iz članka 2. stavak (1) točka a) ove odluke.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(2) Banka je dužna zahtjev iz stavka (1) ovog članka dostaviti organizacijskom obliku za bankarstvo najkasnije do 13.30 sati.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Ukoliko banka zahtjev iz stavka (1) ovog članka dostavi Centralnoj banci poslije 13.30 sati, a najkasnije do 14.30 sati, može odobriti takav zahtjev.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(4) Ukoliko zahtjev iz stavka (1) ovog članka bude dostavljen poslije 13.30 sati, odnosno zahtjev iz stavka (3) ovog članka bude dostavljen poslije 14.30 sati, zahtjev će biti odbijen.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(5) Centralna banka, u izuzetnim slučajevima, na temelju zahtjeva banke može odobriti i izvršiti isplatu u EUR valuti na račun banke u inozemstvu i s datumom valute od jedan radni dan (T+1) ili s datumom valute istog radnog dana (T+0), ako to mogućnosti dozvoljavaju.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 Banka je dužna zahtjev iz stavka (5) ovog članka dostaviti Centralnoj banci najkasnije do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11.00 sati za zahtjev s valutom isti radni dan (T+0), odnosno do 13.00 sati za zahtjev s valutom jedan radni dan (T+1).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(7) Ukoliko zahtjev s valutom (T+0) bude dostavljen poslije 11.00 sati, odnosno zahtjev s valutom (T+1) poslije 13.00 sati, bit će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lastRenderedPageBreak/>
        <w:t xml:space="preserve">(8)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Realizacijom naloga o isplati EUR zadužuje se račun rezervi u EUR.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6.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(Prijenos sredstava s računa rezervi u KM na račun rezervi u EUR)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(1)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Kada se povećanje sredstava na računu rezervi u EUR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vrši prijenosom sredstava s računa rezervi u KM po zahtjevu banke iz članka 2. stavak (1) točka b) ove odluke, organizacijski oblik za bankarstvo kojem je podnesen zahtjev banke, kreira internu zaključnicu o kupnji KM ‒ račun rezervi u EUR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tekstu: interna zaključnica o kupnji KM</w:t>
      </w:r>
      <w:r>
        <w:rPr>
          <w:rFonts w:ascii="Times New Roman" w:eastAsia="Calibri" w:hAnsi="Times New Roman" w:cs="Times New Roman"/>
          <w:b/>
          <w:bCs/>
          <w:noProof/>
          <w:color w:val="0D0D0D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i potvrđuje zahtjev.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(2) Interna zaljučnica o kupnji KM kreira se s datumom valute istog dana kada je i podnesen zahtjev, u slučaju da banka podnosi zahtjev do 14:00 sati. Ukoliko zahtjev bude dostavljen poslije 14:00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Kada banka podnosi zahtjev iz stavka (1) ovog članka s datumom valute od jedan radni dan od datuma podnošenja zahtjeva, organizacijski oblik za bankarstvo kreira internu zaključnicu o kupnji KM s datumom naznačenim u zahtjevu banke. U ovom slučaju banka podnosi zahtjev do 15:00 sati. Ukoliko zahtjev bude dostavljen poslije 15:00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(4) </w:t>
      </w:r>
      <w:bookmarkStart w:id="0" w:name="_Hlk117004475"/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Kreiranjem interne zaključnice o kupnji KM iz stavaka (2) i (3) ovog članka, blokiraju se sredstva na računu rezervi u KM do trenutka realizacije.</w:t>
      </w:r>
    </w:p>
    <w:bookmarkEnd w:id="0"/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(5) Realizacijom interne zaključnice o kupnji KM, u svrhu prijenosa sredstava s računa rezervi u KM na račun rezervi u EUR, s istim datumom valute zadužuje se račun rezervi u KM i istovremeno odobrava račun rezervi u EUR.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 S obzirom na to da interna zaključnica o kupnji KM realizirana u svrhu povećanja sredstva na računu rezervi u EUR nema za posljedice promjenu stanja na računu Centralne banke u inozemstvu, nije potrebno kreirati platne naloge, odnosno SWIFT poruke MT 202.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7.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(Prijenos sredstava s računa rezervi u EUR na račun rezervi u KM)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(1)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Kada se smanjenje sredstava na računu rezervi u EUR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vrši prijenosom sredstava na račun rezervi u KM po zahtjevu banke iz članka 2. stavak (1) točka b) ove odluke, organizacijski oblik za bankarstvo kojem je podnesen zahtjev banke, kreira internu zaključnicu o prodaji KM – račun rezervi u EUR (u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daljnjem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tekstu: interna zaključnica o prodaji KM) i potvrđuje zahtjev.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(2) Interna zaljučnica o prodaji KM kreira se s datumom valute istog dana kada je i podnesen zahtjev, u slučaju da banka podnosi zahtjev do 14:00 sati. Ukoliko zahtjev bude dostavljen poslije 14:00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Kada banka podnosi zahtjev iz stavka (1) ovog članka s datumom valute od jedan radni dan od datuma podnošenja zahtjeva, organizacijski oblik za bankarstvo kreira internu zaključnicu o prodaji KM s datumom naznačenim u zahtjevu banke. U ovom slučaju, banka podnosi zahtjev do 15:00 sati. Ukoliko zahtjev bude dostavljen poslije 15:00 sati, on će biti odbijen.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(4) </w:t>
      </w:r>
      <w:bookmarkStart w:id="1" w:name="_Hlk117004608"/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Kreiranjem interne zaključnice o prodaji KM iz stavaka (2) i (3) ovog članka, blokiraju se sredstva na računu rezervi u EUR do trenutka realizacije.</w:t>
      </w:r>
    </w:p>
    <w:bookmarkEnd w:id="1"/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(5) Realizacijom interne zaključnice o prodaji KM, u svrhu prijenosa sredstva s računa rezervi u EUR na račun rezervi u KM, s istim datumom valute zadužuje se račun rezervi u EUR i istovremeno odobrava račun rezervi u KM.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 S obzirom na to da interna zaključnica o prodaji KM realizirana u svrhu smanjenja sredstva na računu rezervi u EUR nema za posljedice promjenu stanja 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računu Centralne banke u inozemstvu, nije potrebno kreirati platne naloge, odnosno SWIFT poruke MT 202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ili pacs. 009.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Članak 8.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(Naknada)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(1) Centralna banka vrši obračun naknade, u skladu s propisom o tarifi naknada Centralne banke, koji automatski putem EMTN-a (potvrdom zahtjeva) dostavlja banci.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(2) Naplata naknade iz stavka (1) ovog članka vrši se na mjesečnoj razini zaduživanjem računa rezervi banke u KM u korist računa Centralnog ureda Centralne banke.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9.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(Račun Centralne banke u inozemstvu)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U slučaju nedostupnosti ili nemogućnosti obavljanja transakcija putem računa Centralne banke iz članka 4. ove odluke otvorenog kod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Deutsche Bank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Centralna banka će bankama pisanim putem dostaviti obavijest o drugom računu Centralne banke sa svim potrebnim instrukcijama za plaćanje, te će pratiti i provjeravati status transakcije drugim kanalom komunikacije.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Članak 10.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(Stupanje na snagu i objavljivanje)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(1) Ova odluka stupa na snagu osmog dana od dana objavljivanja u „Službenom glasniku BiH“, a primjenjuje se 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od 01.01.2024. godine.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(2) Ova odluka </w:t>
      </w:r>
      <w:r>
        <w:rPr>
          <w:rFonts w:ascii="Times New Roman" w:hAnsi="Times New Roman" w:cs="Times New Roman"/>
          <w:sz w:val="24"/>
          <w:szCs w:val="24"/>
          <w:lang w:val="bs-Latn-BA"/>
        </w:rPr>
        <w:t>objavit će se i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„Službenim novinama Federacije BiH“, „Službenom glasniku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Republike Srpske“ i „Službenom glasniku Brčko distrikta BiH“.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Predsjedatelj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ab/>
        <w:t>Upravnog vijeća Centralne banke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Broj:</w:t>
      </w:r>
      <w:bookmarkStart w:id="2" w:name="_GoBack"/>
      <w:bookmarkEnd w:id="2"/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UV-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122-02-1-1499-5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/23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Bosne i Hercegovine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Sarajevo, 29.08.2023. godine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GUVERNER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dr. Senad Softić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sectPr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AE"/>
    <w:multiLevelType w:val="hybridMultilevel"/>
    <w:tmpl w:val="4BD0D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0CC7"/>
    <w:multiLevelType w:val="hybridMultilevel"/>
    <w:tmpl w:val="C674C4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E0081"/>
    <w:multiLevelType w:val="hybridMultilevel"/>
    <w:tmpl w:val="F102A242"/>
    <w:lvl w:ilvl="0" w:tplc="58B0C914">
      <w:start w:val="1"/>
      <w:numFmt w:val="lowerLetter"/>
      <w:lvlText w:val="%1)"/>
      <w:lvlJc w:val="left"/>
      <w:pPr>
        <w:ind w:left="719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294D57"/>
    <w:multiLevelType w:val="hybridMultilevel"/>
    <w:tmpl w:val="6B6A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455E"/>
    <w:multiLevelType w:val="hybridMultilevel"/>
    <w:tmpl w:val="F1F4B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7D5"/>
    <w:multiLevelType w:val="hybridMultilevel"/>
    <w:tmpl w:val="ED08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1B4"/>
    <w:multiLevelType w:val="hybridMultilevel"/>
    <w:tmpl w:val="A56A4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65B3"/>
    <w:multiLevelType w:val="hybridMultilevel"/>
    <w:tmpl w:val="A01A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412"/>
    <w:multiLevelType w:val="hybridMultilevel"/>
    <w:tmpl w:val="A5369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76C2B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B5A93"/>
    <w:multiLevelType w:val="hybridMultilevel"/>
    <w:tmpl w:val="16EA51F8"/>
    <w:lvl w:ilvl="0" w:tplc="7972A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4B81"/>
    <w:multiLevelType w:val="hybridMultilevel"/>
    <w:tmpl w:val="C982F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4E6C"/>
    <w:multiLevelType w:val="hybridMultilevel"/>
    <w:tmpl w:val="75E65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817"/>
    <w:multiLevelType w:val="hybridMultilevel"/>
    <w:tmpl w:val="DB44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0FC7"/>
    <w:multiLevelType w:val="hybridMultilevel"/>
    <w:tmpl w:val="12E4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6D7"/>
    <w:multiLevelType w:val="hybridMultilevel"/>
    <w:tmpl w:val="4C386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9C5"/>
    <w:multiLevelType w:val="hybridMultilevel"/>
    <w:tmpl w:val="EB6AE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52A4"/>
    <w:multiLevelType w:val="hybridMultilevel"/>
    <w:tmpl w:val="5E36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A331A"/>
    <w:multiLevelType w:val="hybridMultilevel"/>
    <w:tmpl w:val="3DFC7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11FAB"/>
    <w:multiLevelType w:val="hybridMultilevel"/>
    <w:tmpl w:val="1D8CE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012F3"/>
    <w:multiLevelType w:val="hybridMultilevel"/>
    <w:tmpl w:val="8D2A124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FED"/>
    <w:multiLevelType w:val="hybridMultilevel"/>
    <w:tmpl w:val="805CF16E"/>
    <w:lvl w:ilvl="0" w:tplc="141A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305C4"/>
    <w:multiLevelType w:val="hybridMultilevel"/>
    <w:tmpl w:val="D728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E777D"/>
    <w:multiLevelType w:val="hybridMultilevel"/>
    <w:tmpl w:val="91A05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26657"/>
    <w:multiLevelType w:val="hybridMultilevel"/>
    <w:tmpl w:val="D4682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6E7C"/>
    <w:multiLevelType w:val="hybridMultilevel"/>
    <w:tmpl w:val="E84A0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24F12"/>
    <w:multiLevelType w:val="hybridMultilevel"/>
    <w:tmpl w:val="78108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52CC8"/>
    <w:multiLevelType w:val="hybridMultilevel"/>
    <w:tmpl w:val="4AF28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C15B2"/>
    <w:multiLevelType w:val="hybridMultilevel"/>
    <w:tmpl w:val="135AC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637E0"/>
    <w:multiLevelType w:val="hybridMultilevel"/>
    <w:tmpl w:val="8614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27AF1"/>
    <w:multiLevelType w:val="hybridMultilevel"/>
    <w:tmpl w:val="7578E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91E99"/>
    <w:multiLevelType w:val="hybridMultilevel"/>
    <w:tmpl w:val="25B4D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26F5"/>
    <w:multiLevelType w:val="hybridMultilevel"/>
    <w:tmpl w:val="8DE05CAC"/>
    <w:lvl w:ilvl="0" w:tplc="15023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C145E2"/>
    <w:multiLevelType w:val="hybridMultilevel"/>
    <w:tmpl w:val="46E4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23F2"/>
    <w:multiLevelType w:val="hybridMultilevel"/>
    <w:tmpl w:val="4642E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503F4"/>
    <w:multiLevelType w:val="hybridMultilevel"/>
    <w:tmpl w:val="D42C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146B"/>
    <w:multiLevelType w:val="hybridMultilevel"/>
    <w:tmpl w:val="EB3AA0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DB3"/>
    <w:multiLevelType w:val="hybridMultilevel"/>
    <w:tmpl w:val="7350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2E0F"/>
    <w:multiLevelType w:val="hybridMultilevel"/>
    <w:tmpl w:val="407C2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18"/>
    <w:multiLevelType w:val="hybridMultilevel"/>
    <w:tmpl w:val="D2C68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F7BFF"/>
    <w:multiLevelType w:val="hybridMultilevel"/>
    <w:tmpl w:val="633E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95F9B"/>
    <w:multiLevelType w:val="hybridMultilevel"/>
    <w:tmpl w:val="3A5C682A"/>
    <w:lvl w:ilvl="0" w:tplc="15023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1E62"/>
    <w:multiLevelType w:val="hybridMultilevel"/>
    <w:tmpl w:val="7FDC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"/>
  </w:num>
  <w:num w:numId="5">
    <w:abstractNumId w:val="39"/>
  </w:num>
  <w:num w:numId="6">
    <w:abstractNumId w:val="38"/>
  </w:num>
  <w:num w:numId="7">
    <w:abstractNumId w:val="2"/>
  </w:num>
  <w:num w:numId="8">
    <w:abstractNumId w:val="34"/>
  </w:num>
  <w:num w:numId="9">
    <w:abstractNumId w:val="35"/>
  </w:num>
  <w:num w:numId="10">
    <w:abstractNumId w:val="30"/>
  </w:num>
  <w:num w:numId="11">
    <w:abstractNumId w:val="8"/>
  </w:num>
  <w:num w:numId="12">
    <w:abstractNumId w:val="42"/>
  </w:num>
  <w:num w:numId="13">
    <w:abstractNumId w:val="27"/>
  </w:num>
  <w:num w:numId="14">
    <w:abstractNumId w:val="12"/>
  </w:num>
  <w:num w:numId="15">
    <w:abstractNumId w:val="24"/>
  </w:num>
  <w:num w:numId="16">
    <w:abstractNumId w:val="26"/>
  </w:num>
  <w:num w:numId="17">
    <w:abstractNumId w:val="0"/>
  </w:num>
  <w:num w:numId="18">
    <w:abstractNumId w:val="16"/>
  </w:num>
  <w:num w:numId="19">
    <w:abstractNumId w:val="22"/>
  </w:num>
  <w:num w:numId="20">
    <w:abstractNumId w:val="25"/>
  </w:num>
  <w:num w:numId="21">
    <w:abstractNumId w:val="15"/>
  </w:num>
  <w:num w:numId="22">
    <w:abstractNumId w:val="21"/>
  </w:num>
  <w:num w:numId="23">
    <w:abstractNumId w:val="11"/>
  </w:num>
  <w:num w:numId="24">
    <w:abstractNumId w:val="7"/>
  </w:num>
  <w:num w:numId="25">
    <w:abstractNumId w:val="20"/>
  </w:num>
  <w:num w:numId="26">
    <w:abstractNumId w:val="33"/>
  </w:num>
  <w:num w:numId="27">
    <w:abstractNumId w:val="13"/>
  </w:num>
  <w:num w:numId="28">
    <w:abstractNumId w:val="37"/>
  </w:num>
  <w:num w:numId="29">
    <w:abstractNumId w:val="28"/>
  </w:num>
  <w:num w:numId="30">
    <w:abstractNumId w:val="6"/>
  </w:num>
  <w:num w:numId="31">
    <w:abstractNumId w:val="3"/>
  </w:num>
  <w:num w:numId="32">
    <w:abstractNumId w:val="1"/>
  </w:num>
  <w:num w:numId="33">
    <w:abstractNumId w:val="10"/>
  </w:num>
  <w:num w:numId="34">
    <w:abstractNumId w:val="40"/>
  </w:num>
  <w:num w:numId="35">
    <w:abstractNumId w:val="4"/>
  </w:num>
  <w:num w:numId="36">
    <w:abstractNumId w:val="18"/>
  </w:num>
  <w:num w:numId="37">
    <w:abstractNumId w:val="23"/>
  </w:num>
  <w:num w:numId="38">
    <w:abstractNumId w:val="36"/>
  </w:num>
  <w:num w:numId="39">
    <w:abstractNumId w:val="41"/>
  </w:num>
  <w:num w:numId="40">
    <w:abstractNumId w:val="32"/>
  </w:num>
  <w:num w:numId="41">
    <w:abstractNumId w:val="31"/>
  </w:num>
  <w:num w:numId="42">
    <w:abstractNumId w:val="14"/>
  </w:num>
  <w:num w:numId="43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EDFB5-205A-484D-9D7B-440DF01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sr-Latn-BA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1256-CEE2-46B6-B422-6693A27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Damir Soco</cp:lastModifiedBy>
  <cp:revision>14</cp:revision>
  <cp:lastPrinted>2023-08-29T13:22:00Z</cp:lastPrinted>
  <dcterms:created xsi:type="dcterms:W3CDTF">2023-07-27T17:34:00Z</dcterms:created>
  <dcterms:modified xsi:type="dcterms:W3CDTF">2023-08-31T13:58:00Z</dcterms:modified>
</cp:coreProperties>
</file>