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bs-Latn-BA"/>
        </w:rPr>
        <w:t>Temeljem članka 7. stavak 1. točke b. i f. i članka 70. Zakona o Centralnoj banci Bosne i Hercegovine (“Službeni glasnik BiH“, br. 1/97, 29/02, 8/03, 13/03, 14/03, 9/05, 76/06 i 32/07)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zh-CN"/>
        </w:rPr>
        <w:t>, Upravno vijeće Centralne banke Bosne i Hercegovine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, na 13. sjednici održanoj 25. rujna 2024. godine,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zh-CN"/>
        </w:rPr>
        <w:t xml:space="preserve"> donosi </w:t>
      </w:r>
    </w:p>
    <w:p>
      <w:pPr>
        <w:widowControl w:val="0"/>
        <w:tabs>
          <w:tab w:val="num" w:pos="0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iCs/>
          <w:noProof/>
          <w:sz w:val="24"/>
          <w:szCs w:val="24"/>
          <w:lang w:val="bs-Latn-BA" w:eastAsia="zh-CN"/>
        </w:rPr>
      </w:pPr>
    </w:p>
    <w:p>
      <w:pPr>
        <w:widowControl w:val="0"/>
        <w:tabs>
          <w:tab w:val="num" w:pos="0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iCs/>
          <w:noProof/>
          <w:sz w:val="24"/>
          <w:szCs w:val="24"/>
          <w:lang w:val="bs-Latn-BA" w:eastAsia="zh-CN"/>
        </w:rPr>
      </w:pPr>
    </w:p>
    <w:p>
      <w:pPr>
        <w:widowControl w:val="0"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Cs/>
          <w:noProof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Cs/>
          <w:noProof/>
          <w:sz w:val="24"/>
          <w:szCs w:val="24"/>
          <w:lang w:eastAsia="zh-CN"/>
        </w:rPr>
        <w:t>ODLUKU</w:t>
      </w:r>
    </w:p>
    <w:p>
      <w:pPr>
        <w:widowControl w:val="0"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Cs/>
          <w:noProof/>
          <w:sz w:val="24"/>
          <w:szCs w:val="24"/>
          <w:lang w:eastAsia="zh-CN"/>
        </w:rPr>
        <w:t xml:space="preserve">o izmjenama Odluke o utvrđivanju tarife naknada za usluge koje vrši </w:t>
      </w:r>
      <w:r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zh-CN"/>
        </w:rPr>
        <w:t>Centralna banka Bosne i Hercegovine</w:t>
      </w:r>
    </w:p>
    <w:p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bs-Latn-BA" w:eastAsia="zh-CN"/>
        </w:rPr>
      </w:pPr>
    </w:p>
    <w:p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bs-Latn-BA" w:eastAsia="zh-CN"/>
        </w:rPr>
      </w:pPr>
    </w:p>
    <w:p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bs-Latn-BA" w:eastAsia="zh-CN"/>
        </w:rPr>
        <w:t>Članak 1.</w:t>
      </w:r>
    </w:p>
    <w:p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 xml:space="preserve">(1) U Odluci o utvrđivanju tarife naknada za usluge koje vrši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zh-CN"/>
        </w:rPr>
        <w:t xml:space="preserve">Centralna banka Bosne i Hercegovine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 xml:space="preserve">(“Službeni glasnik BiH“, br. 10/21, 53/22, 81/22 i 61/23), u Tarifi naknada koja čini sastavni dio Odluke, u Tarifnom broju 1. – Poslovi s deponentima, tarifni stav usluge 1.1.2.3. mijenja se i glasi: </w:t>
      </w:r>
    </w:p>
    <w:tbl>
      <w:tblPr>
        <w:tblW w:w="93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6"/>
        <w:gridCol w:w="2297"/>
        <w:gridCol w:w="3260"/>
      </w:tblGrid>
      <w:tr>
        <w:tc>
          <w:tcPr>
            <w:tcW w:w="992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zh-CN"/>
              </w:rPr>
              <w:t>1.1.2.3.</w:t>
            </w:r>
          </w:p>
        </w:tc>
        <w:tc>
          <w:tcPr>
            <w:tcW w:w="2836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zh-CN"/>
              </w:rPr>
              <w:t>Rabljenje elektronskog bankarstva</w:t>
            </w:r>
          </w:p>
        </w:tc>
        <w:tc>
          <w:tcPr>
            <w:tcW w:w="2297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zh-CN"/>
              </w:rPr>
              <w:t>2,00 KM</w:t>
            </w:r>
          </w:p>
        </w:tc>
        <w:tc>
          <w:tcPr>
            <w:tcW w:w="326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zh-CN"/>
              </w:rPr>
              <w:t>po transakciji</w:t>
            </w:r>
          </w:p>
        </w:tc>
      </w:tr>
    </w:tbl>
    <w:p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bs-Latn-BA" w:eastAsia="zh-CN"/>
        </w:rPr>
      </w:pP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(2) U Tekstualnom dijelu ispod tablice, pod nazivom “Naplata naknade za Tarifni broj 1., u stavku (1) točki e) iza riječi ˮNaknada iz tarifnog stavka 1.1.2.3.ˮ riječ ˮneˮ, briše se.</w:t>
      </w: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</w:pPr>
    </w:p>
    <w:p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Članak 2.</w:t>
      </w:r>
    </w:p>
    <w:p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Tarifni broj 3. – Platni sustavi, mijenja se i glasi:</w:t>
      </w:r>
    </w:p>
    <w:p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 xml:space="preserve"> </w:t>
      </w:r>
    </w:p>
    <w:p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  <w:t>ˮTarifni broj 3. – Platni sustavi</w:t>
      </w:r>
    </w:p>
    <w:tbl>
      <w:tblPr>
        <w:tblW w:w="93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723"/>
        <w:gridCol w:w="2410"/>
        <w:gridCol w:w="3260"/>
      </w:tblGrid>
      <w:tr>
        <w:tc>
          <w:tcPr>
            <w:tcW w:w="992" w:type="dxa"/>
            <w:shd w:val="clear" w:color="auto" w:fill="auto"/>
            <w:vAlign w:val="center"/>
          </w:tcPr>
          <w:p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zh-CN"/>
              </w:rPr>
              <w:t>Tarifni stavak usluge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zh-CN"/>
              </w:rPr>
              <w:t>Vrsta usluge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zh-CN"/>
              </w:rPr>
              <w:t>Visina (iznos) naknade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zh-CN"/>
              </w:rPr>
              <w:t>Napomena: način obračuna, osnovica i drugo</w:t>
            </w:r>
          </w:p>
        </w:tc>
      </w:tr>
      <w:tr>
        <w:tc>
          <w:tcPr>
            <w:tcW w:w="992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zh-CN"/>
              </w:rPr>
              <w:t>3.1.</w:t>
            </w:r>
          </w:p>
        </w:tc>
        <w:tc>
          <w:tcPr>
            <w:tcW w:w="2723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zh-CN"/>
              </w:rPr>
              <w:t>Pretplata za udio u platnim sustavima Centralne banke</w:t>
            </w:r>
          </w:p>
        </w:tc>
        <w:tc>
          <w:tcPr>
            <w:tcW w:w="241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zh-CN"/>
              </w:rPr>
              <w:t>1.000,00 KM</w:t>
            </w:r>
          </w:p>
        </w:tc>
        <w:tc>
          <w:tcPr>
            <w:tcW w:w="326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zh-CN"/>
              </w:rPr>
              <w:t>mjesečno</w:t>
            </w:r>
          </w:p>
        </w:tc>
      </w:tr>
      <w:tr>
        <w:tc>
          <w:tcPr>
            <w:tcW w:w="992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zh-CN"/>
              </w:rPr>
              <w:t>3.2.</w:t>
            </w:r>
          </w:p>
        </w:tc>
        <w:tc>
          <w:tcPr>
            <w:tcW w:w="2723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zh-CN"/>
              </w:rPr>
              <w:t>Obavljanje platnih transakcija za sudionike u žirokliring sustavu</w:t>
            </w:r>
          </w:p>
        </w:tc>
        <w:tc>
          <w:tcPr>
            <w:tcW w:w="241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zh-CN"/>
              </w:rPr>
              <w:t>0,26 KM</w:t>
            </w:r>
          </w:p>
        </w:tc>
        <w:tc>
          <w:tcPr>
            <w:tcW w:w="326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zh-CN"/>
              </w:rPr>
              <w:t>po transakciji</w:t>
            </w:r>
          </w:p>
        </w:tc>
      </w:tr>
      <w:tr>
        <w:tc>
          <w:tcPr>
            <w:tcW w:w="992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zh-CN"/>
              </w:rPr>
              <w:t>3.3.</w:t>
            </w:r>
          </w:p>
        </w:tc>
        <w:tc>
          <w:tcPr>
            <w:tcW w:w="2723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zh-CN"/>
              </w:rPr>
              <w:t>Obavljanje platnih transakcija za sudionike u BPRV</w:t>
            </w:r>
          </w:p>
        </w:tc>
        <w:tc>
          <w:tcPr>
            <w:tcW w:w="241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zh-CN"/>
              </w:rPr>
              <w:t>2,05 KM</w:t>
            </w:r>
          </w:p>
        </w:tc>
        <w:tc>
          <w:tcPr>
            <w:tcW w:w="326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zh-CN"/>
              </w:rPr>
              <w:t>po transakciji</w:t>
            </w:r>
          </w:p>
        </w:tc>
      </w:tr>
      <w:tr>
        <w:tc>
          <w:tcPr>
            <w:tcW w:w="992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zh-CN"/>
              </w:rPr>
              <w:t>3.3.1.</w:t>
            </w:r>
          </w:p>
        </w:tc>
        <w:tc>
          <w:tcPr>
            <w:tcW w:w="2723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zh-CN"/>
              </w:rPr>
              <w:t>za kartičarska procesna središta</w:t>
            </w:r>
          </w:p>
        </w:tc>
        <w:tc>
          <w:tcPr>
            <w:tcW w:w="241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zh-CN"/>
              </w:rPr>
              <w:t>5,00 KM</w:t>
            </w:r>
          </w:p>
        </w:tc>
        <w:tc>
          <w:tcPr>
            <w:tcW w:w="326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zh-CN"/>
              </w:rPr>
              <w:t>po pojedinačnom poravnanju</w:t>
            </w:r>
          </w:p>
        </w:tc>
      </w:tr>
      <w:tr>
        <w:tc>
          <w:tcPr>
            <w:tcW w:w="992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zh-CN"/>
              </w:rPr>
              <w:t>3.4.</w:t>
            </w:r>
          </w:p>
        </w:tc>
        <w:tc>
          <w:tcPr>
            <w:tcW w:w="2723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zh-CN"/>
              </w:rPr>
              <w:t>Obavljanje platnih transakcija kod kliringa međunarodnih plaćanja</w:t>
            </w:r>
          </w:p>
        </w:tc>
        <w:tc>
          <w:tcPr>
            <w:tcW w:w="241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zh-CN"/>
              </w:rPr>
              <w:t>1,20 KM</w:t>
            </w:r>
          </w:p>
        </w:tc>
        <w:tc>
          <w:tcPr>
            <w:tcW w:w="326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zh-CN"/>
              </w:rPr>
              <w:t>po transakciji</w:t>
            </w:r>
          </w:p>
        </w:tc>
      </w:tr>
    </w:tbl>
    <w:p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</w:pPr>
    </w:p>
    <w:p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  <w:t>Naplata naknade za Tarifni broj 3.</w:t>
      </w:r>
    </w:p>
    <w:p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Naplata naknade iz tarifnog stavka 3.1., 3.2., 3.3. i 3.4. se vrši na sljedeći način:</w:t>
      </w:r>
    </w:p>
    <w:p>
      <w:pPr>
        <w:widowControl w:val="0"/>
        <w:numPr>
          <w:ilvl w:val="0"/>
          <w:numId w:val="1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Naplata naknade se vrši na mjesečnoj razini, s datumom valute desetog radnog dana tekućeg mjeseca ili prvog narednog radnog dana, ukoliko je deseti dan u mjesecu, neradni dan. Naknada se naplaćuje u KM.</w:t>
      </w:r>
    </w:p>
    <w:p>
      <w:pPr>
        <w:numPr>
          <w:ilvl w:val="0"/>
          <w:numId w:val="14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lastRenderedPageBreak/>
        <w:t>Centralna banka naknadu naplaćuje zaduženjem računa rezervi banke u korist računa Centralnog ureda Centralne banke.ˮ</w:t>
      </w:r>
    </w:p>
    <w:p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bs-Latn-BA" w:eastAsia="zh-CN"/>
        </w:rPr>
      </w:pPr>
    </w:p>
    <w:p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bs-Latn-BA" w:eastAsia="zh-CN"/>
        </w:rPr>
        <w:t>Članak 3.</w:t>
      </w:r>
    </w:p>
    <w:p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bs-Latn-BA" w:eastAsia="zh-CN"/>
        </w:rPr>
        <w:t>(Stupanje na snagu i početak primjene)</w:t>
      </w:r>
    </w:p>
    <w:p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bs-Latn-BA" w:eastAsia="zh-CN"/>
        </w:rPr>
        <w:t>(1) Ova odluka stupa na snagu osmog dana od dana objavljivanja u “Službenom glasniku BiH“, a primjenjivat će se od 1. studenoga 2024. godine.</w:t>
      </w:r>
    </w:p>
    <w:p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bs-Latn-BA" w:eastAsia="zh-CN"/>
        </w:rPr>
        <w:t>(2) Ova odluka će se objaviti i u “Službenim novinama Federacije BiH“, “Službenom glasniku Republike Srpske“ i “Službenom glasniku Brčko distrikta BiH“.</w:t>
      </w:r>
    </w:p>
    <w:p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bs-Latn-BA" w:eastAsia="zh-CN"/>
        </w:rPr>
      </w:pPr>
    </w:p>
    <w:p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bs-Latn-BA" w:eastAsia="zh-CN"/>
        </w:rPr>
      </w:pPr>
    </w:p>
    <w:p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bs-Latn-BA" w:eastAsia="zh-CN"/>
        </w:rPr>
      </w:pPr>
    </w:p>
    <w:p>
      <w:pPr>
        <w:widowControl w:val="0"/>
        <w:tabs>
          <w:tab w:val="center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bs-Latn-BA" w:eastAsia="zh-CN"/>
        </w:rPr>
        <w:tab/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bs-Latn-BA" w:eastAsia="zh-CN"/>
        </w:rPr>
        <w:t>Predsjedateljica</w:t>
      </w:r>
    </w:p>
    <w:p>
      <w:pPr>
        <w:widowControl w:val="0"/>
        <w:tabs>
          <w:tab w:val="center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bs-Latn-BA" w:eastAsia="zh-CN"/>
        </w:rPr>
        <w:tab/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bs-Latn-BA" w:eastAsia="zh-CN"/>
        </w:rPr>
        <w:t>Upravnog vijeća Centralne banke</w:t>
      </w:r>
    </w:p>
    <w:p>
      <w:pPr>
        <w:widowControl w:val="0"/>
        <w:tabs>
          <w:tab w:val="center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bs-Latn-BA" w:eastAsia="zh-CN"/>
        </w:rPr>
        <w:t>Broj: UV-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122-02-1</w:t>
      </w:r>
      <w:bookmarkStart w:id="0" w:name="_GoBack"/>
      <w:r>
        <w:rPr>
          <w:rFonts w:ascii="Times New Roman" w:eastAsia="Times New Roman" w:hAnsi="Times New Roman" w:cs="Times New Roman"/>
          <w:noProof/>
          <w:sz w:val="24"/>
          <w:szCs w:val="24"/>
        </w:rPr>
        <w:t>-1667-4</w:t>
      </w:r>
      <w:bookmarkEnd w:id="0"/>
      <w:r>
        <w:rPr>
          <w:rFonts w:ascii="Times New Roman" w:eastAsia="Times New Roman" w:hAnsi="Times New Roman" w:cs="Times New Roman"/>
          <w:noProof/>
          <w:sz w:val="24"/>
          <w:szCs w:val="24"/>
          <w:lang w:val="bs-Latn-BA" w:eastAsia="zh-CN"/>
        </w:rPr>
        <w:t>/24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bs-Latn-BA" w:eastAsia="zh-CN"/>
        </w:rPr>
        <w:tab/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bs-Latn-BA" w:eastAsia="zh-CN"/>
        </w:rPr>
        <w:t>Bosne i Hercegovine</w:t>
      </w:r>
    </w:p>
    <w:p>
      <w:pPr>
        <w:widowControl w:val="0"/>
        <w:tabs>
          <w:tab w:val="center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bs-Latn-BA" w:eastAsia="zh-CN"/>
        </w:rPr>
        <w:t>Sarajevo, 25.09.2024. godine</w:t>
      </w:r>
    </w:p>
    <w:p>
      <w:pPr>
        <w:widowControl w:val="0"/>
        <w:tabs>
          <w:tab w:val="center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bs-Latn-BA" w:eastAsia="zh-CN"/>
        </w:rPr>
        <w:tab/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bs-Latn-BA" w:eastAsia="zh-CN"/>
        </w:rPr>
        <w:t>GUVERNERKA</w:t>
      </w:r>
    </w:p>
    <w:p>
      <w:pPr>
        <w:widowControl w:val="0"/>
        <w:tabs>
          <w:tab w:val="center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bs-Latn-BA" w:eastAsia="zh-CN"/>
        </w:rPr>
        <w:tab/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bs-Latn-BA" w:eastAsia="zh-CN"/>
        </w:rPr>
        <w:t>dr. Jasmina Selimović</w:t>
      </w:r>
    </w:p>
    <w:p>
      <w:pPr>
        <w:rPr>
          <w:rFonts w:ascii="Times New Roman" w:eastAsia="Calibri" w:hAnsi="Times New Roman" w:cs="Times New Roman"/>
          <w:sz w:val="24"/>
          <w:szCs w:val="24"/>
          <w:lang w:val="bs-Latn-BA"/>
        </w:rPr>
      </w:pPr>
    </w:p>
    <w:sectPr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597308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>
            <w:pPr>
              <w:pStyle w:val="Footer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B1E61"/>
    <w:multiLevelType w:val="hybridMultilevel"/>
    <w:tmpl w:val="05A49FC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012F3"/>
    <w:multiLevelType w:val="hybridMultilevel"/>
    <w:tmpl w:val="D8D04C54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C1A43"/>
    <w:multiLevelType w:val="hybridMultilevel"/>
    <w:tmpl w:val="5936FD74"/>
    <w:lvl w:ilvl="0" w:tplc="E19800B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8320D8"/>
    <w:multiLevelType w:val="hybridMultilevel"/>
    <w:tmpl w:val="46CEA92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D3961"/>
    <w:multiLevelType w:val="hybridMultilevel"/>
    <w:tmpl w:val="65502F96"/>
    <w:lvl w:ilvl="0" w:tplc="6052B80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925A5"/>
    <w:multiLevelType w:val="hybridMultilevel"/>
    <w:tmpl w:val="C92661B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443283"/>
    <w:multiLevelType w:val="hybridMultilevel"/>
    <w:tmpl w:val="2E7E101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FD36E7"/>
    <w:multiLevelType w:val="hybridMultilevel"/>
    <w:tmpl w:val="91643C10"/>
    <w:lvl w:ilvl="0" w:tplc="8716C95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D87EEC"/>
    <w:multiLevelType w:val="hybridMultilevel"/>
    <w:tmpl w:val="33C6848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C87372"/>
    <w:multiLevelType w:val="hybridMultilevel"/>
    <w:tmpl w:val="3D74119A"/>
    <w:lvl w:ilvl="0" w:tplc="691A79C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1C6639"/>
    <w:multiLevelType w:val="hybridMultilevel"/>
    <w:tmpl w:val="B6A2F110"/>
    <w:lvl w:ilvl="0" w:tplc="E19800B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234F61"/>
    <w:multiLevelType w:val="hybridMultilevel"/>
    <w:tmpl w:val="05A49FC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C20EA3"/>
    <w:multiLevelType w:val="hybridMultilevel"/>
    <w:tmpl w:val="8F24CA5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10"/>
  </w:num>
  <w:num w:numId="10">
    <w:abstractNumId w:val="8"/>
  </w:num>
  <w:num w:numId="11">
    <w:abstractNumId w:val="9"/>
  </w:num>
  <w:num w:numId="12">
    <w:abstractNumId w:val="11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17A4A4-93C9-445B-8863-2FB653858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Latn-B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Pr>
      <w:rFonts w:ascii="Times New Roman" w:eastAsia="Times New Roman" w:hAnsi="Times New Roman" w:cs="Times New Roman"/>
      <w:b/>
      <w:sz w:val="24"/>
      <w:szCs w:val="24"/>
      <w:lang w:val="hr-HR"/>
    </w:rPr>
  </w:style>
  <w:style w:type="paragraph" w:styleId="NoSpacing">
    <w:name w:val="No Spacing"/>
    <w:uiPriority w:val="99"/>
    <w:qFormat/>
    <w:pPr>
      <w:spacing w:after="0" w:line="240" w:lineRule="auto"/>
    </w:pPr>
    <w:rPr>
      <w:rFonts w:ascii="Calibri" w:eastAsia="Calibri" w:hAnsi="Calibri" w:cs="Times New Roman"/>
      <w:lang w:val="sr-Latn-BA"/>
    </w:rPr>
  </w:style>
  <w:style w:type="paragraph" w:styleId="Title">
    <w:name w:val="Title"/>
    <w:basedOn w:val="Normal"/>
    <w:link w:val="TitleChar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TitleChar">
    <w:name w:val="Title Char"/>
    <w:basedOn w:val="DefaultParagraphFont"/>
    <w:link w:val="Title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lang w:val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sr-Latn-BA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2D2D31"/>
    </w:rPr>
  </w:style>
  <w:style w:type="paragraph" w:styleId="BodyText">
    <w:name w:val="Body Text"/>
    <w:basedOn w:val="Normal"/>
    <w:link w:val="BodyTextChar"/>
    <w:pPr>
      <w:widowControl w:val="0"/>
      <w:spacing w:after="0" w:line="264" w:lineRule="auto"/>
      <w:ind w:firstLine="400"/>
    </w:pPr>
    <w:rPr>
      <w:rFonts w:ascii="Times New Roman" w:eastAsia="Times New Roman" w:hAnsi="Times New Roman" w:cs="Times New Roman"/>
      <w:color w:val="2D2D31"/>
      <w:lang w:val="en-US"/>
    </w:rPr>
  </w:style>
  <w:style w:type="character" w:customStyle="1" w:styleId="BodyTextChar1">
    <w:name w:val="Body Text Char1"/>
    <w:basedOn w:val="DefaultParagraphFont"/>
    <w:uiPriority w:val="99"/>
    <w:semiHidden/>
    <w:rPr>
      <w:lang w:val="sr-Latn-BA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lang w:val="sr-Latn-B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lang w:val="sr-Latn-BA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sr-Latn-BA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pPr>
      <w:spacing w:after="0" w:line="240" w:lineRule="auto"/>
    </w:pPr>
    <w:rPr>
      <w:lang w:val="sr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89AB58F4115D42929AFF8EFDEE8654" ma:contentTypeVersion="22" ma:contentTypeDescription="Create a new document." ma:contentTypeScope="" ma:versionID="1730ee066c9cbb47ae5889fdbc878b2d">
  <xsd:schema xmlns:xsd="http://www.w3.org/2001/XMLSchema" xmlns:xs="http://www.w3.org/2001/XMLSchema" xmlns:p="http://schemas.microsoft.com/office/2006/metadata/properties" xmlns:ns2="88c31fff-4aeb-4d06-8e23-96c05bf81695" xmlns:ns3="b2d5d4c4-c7da-4c1e-ab26-413a9cdd60ac" xmlns:ns4="4eac048a-4bc3-4d77-b3e5-b66a5696d6e2" targetNamespace="http://schemas.microsoft.com/office/2006/metadata/properties" ma:root="true" ma:fieldsID="a38dcb05eff813f9752a9de373e1b3c9" ns2:_="" ns3:_="" ns4:_="">
    <xsd:import namespace="88c31fff-4aeb-4d06-8e23-96c05bf81695"/>
    <xsd:import namespace="b2d5d4c4-c7da-4c1e-ab26-413a9cdd60ac"/>
    <xsd:import namespace="4eac048a-4bc3-4d77-b3e5-b66a5696d6e2"/>
    <xsd:element name="properties">
      <xsd:complexType>
        <xsd:sequence>
          <xsd:element name="documentManagement">
            <xsd:complexType>
              <xsd:all>
                <xsd:element ref="ns2:Broj_x0020_Akta_x0020__x0028_npr_x002e__x0020_01_x002d_120_x002f_05_x0029_"/>
                <xsd:element ref="ns2:Datum_x0020_donosenja"/>
                <xsd:element ref="ns2:Status"/>
                <xsd:element ref="ns2:Vrsta_x0020_Akta"/>
                <xsd:element ref="ns2:Karakter_x0020_Akta"/>
                <xsd:element ref="ns3:Broj_x0020_osnovnog_x0020_akta0" minOccurs="0"/>
                <xsd:element ref="ns3:Izmjene_x002f_Dopune" minOccurs="0"/>
                <xsd:element ref="ns2:Broj_x0020_neobjavljenog_x0020_osnovnog_x0020_akta" minOccurs="0"/>
                <xsd:element ref="ns2:Godina_x0020_dono_x0161_enja"/>
                <xsd:element ref="ns3:Napomena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31fff-4aeb-4d06-8e23-96c05bf81695" elementFormDefault="qualified">
    <xsd:import namespace="http://schemas.microsoft.com/office/2006/documentManagement/types"/>
    <xsd:import namespace="http://schemas.microsoft.com/office/infopath/2007/PartnerControls"/>
    <xsd:element name="Broj_x0020_Akta_x0020__x0028_npr_x002e__x0020_01_x002d_120_x002f_05_x0029_" ma:index="2" ma:displayName="Broj Akta" ma:default="" ma:indexed="true" ma:internalName="Broj_x0020_Akta_x0020__x0028_npr_x002e__x0020_01_x002d_120_x002f_05_x0029_">
      <xsd:simpleType>
        <xsd:restriction base="dms:Text">
          <xsd:maxLength value="255"/>
        </xsd:restriction>
      </xsd:simpleType>
    </xsd:element>
    <xsd:element name="Datum_x0020_donosenja" ma:index="3" ma:displayName="Datum" ma:default="" ma:format="DateOnly" ma:internalName="Datum_x0020_donosenja">
      <xsd:simpleType>
        <xsd:restriction base="dms:DateTime"/>
      </xsd:simpleType>
    </xsd:element>
    <xsd:element name="Status" ma:index="4" ma:displayName="Status" ma:default="Na snazi" ma:format="Dropdown" ma:internalName="Status">
      <xsd:simpleType>
        <xsd:restriction base="dms:Choice">
          <xsd:enumeration value="Na snazi"/>
          <xsd:enumeration value="Van snage"/>
          <xsd:enumeration value="Arhiva (ostali akti)"/>
        </xsd:restriction>
      </xsd:simpleType>
    </xsd:element>
    <xsd:element name="Vrsta_x0020_Akta" ma:index="5" ma:displayName="Vrsta Akta" ma:default="Odluka UV" ma:format="Dropdown" ma:internalName="Vrsta_x0020_Akta">
      <xsd:simpleType>
        <xsd:restriction base="dms:Choice">
          <xsd:enumeration value="Zakon"/>
          <xsd:enumeration value="Odluka UV"/>
          <xsd:enumeration value="Odluka GV"/>
          <xsd:enumeration value="Pravilnici"/>
          <xsd:enumeration value="Ugovori"/>
          <xsd:enumeration value="Uputstvo"/>
          <xsd:enumeration value="Instrukcija"/>
          <xsd:enumeration value="Procedura"/>
          <xsd:enumeration value="Rješenja"/>
          <xsd:enumeration value="Ovlaštenja"/>
          <xsd:enumeration value="Liste"/>
          <xsd:enumeration value="Misljenja"/>
          <xsd:enumeration value="Tumacenja"/>
          <xsd:enumeration value="Akti Odjeljenja za PS"/>
          <xsd:enumeration value="Ostalo"/>
        </xsd:restriction>
      </xsd:simpleType>
    </xsd:element>
    <xsd:element name="Karakter_x0020_Akta" ma:index="6" ma:displayName="Karakter Akta" ma:default="Osnovni tekst" ma:format="Dropdown" ma:internalName="Karakter_x0020_Akta">
      <xsd:simpleType>
        <xsd:restriction base="dms:Choice">
          <xsd:enumeration value="Osnovni tekst"/>
          <xsd:enumeration value="Izmjena/Dopuna"/>
        </xsd:restriction>
      </xsd:simpleType>
    </xsd:element>
    <xsd:element name="Broj_x0020_neobjavljenog_x0020_osnovnog_x0020_akta" ma:index="9" nillable="true" ma:displayName="Akti stavljeni van snage/prestala primjena" ma:internalName="Broj_x0020_neobjavljenog_x0020_osnovnog_x0020_akta">
      <xsd:simpleType>
        <xsd:restriction base="dms:Note">
          <xsd:maxLength value="255"/>
        </xsd:restriction>
      </xsd:simpleType>
    </xsd:element>
    <xsd:element name="Godina_x0020_dono_x0161_enja" ma:index="10" ma:displayName="Godina donošenja" ma:default="1997" ma:format="Dropdown" ma:internalName="Godina_x0020_dono_x0161_enja">
      <xsd:simpleType>
        <xsd:restriction base="dms:Choice">
          <xsd:enumeration value="1997"/>
          <xsd:enumeration value="1998"/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  <xsd:enumeration value="2028"/>
          <xsd:enumeration value="2029"/>
          <xsd:enumeration value="203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d5d4c4-c7da-4c1e-ab26-413a9cdd60ac" elementFormDefault="qualified">
    <xsd:import namespace="http://schemas.microsoft.com/office/2006/documentManagement/types"/>
    <xsd:import namespace="http://schemas.microsoft.com/office/infopath/2007/PartnerControls"/>
    <xsd:element name="Broj_x0020_osnovnog_x0020_akta0" ma:index="7" nillable="true" ma:displayName="Broj osnovnog akta" ma:list="{90e42e45-3342-45d0-9ba1-00c795d8b9ea}" ma:internalName="Broj_x0020_osnovnog_x0020_akta0" ma:showField="Broj_x0020_Akta_x0020__x0028_npr_x002e__x0020_01_x002d_120_x002f_05_x0029_" ma:web="40af5269-b766-4386-98ea-07be65620534">
      <xsd:simpleType>
        <xsd:restriction base="dms:Lookup"/>
      </xsd:simpleType>
    </xsd:element>
    <xsd:element name="Izmjene_x002f_Dopune" ma:index="8" nillable="true" ma:displayName="Izmjene/Dopune" ma:list="{90e42e45-3342-45d0-9ba1-00c795d8b9ea}" ma:internalName="Izmjene_x002f_Dopune" ma:showField="Broj_x0020_Akta_x0020__x0028_npr_x002e__x0020_01_x002d_120_x002f_05_x0029_" ma:web="40af5269-b766-4386-98ea-07be656205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apomena" ma:index="11" nillable="true" ma:displayName="Napomena:" ma:default="" ma:internalName="Napomen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c048a-4bc3-4d77-b3e5-b66a5696d6e2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Naziv Akt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zmjene_x002f_Dopune xmlns="b2d5d4c4-c7da-4c1e-ab26-413a9cdd60ac">
      <Value>1626</Value>
      <Value>1636</Value>
    </Izmjene_x002f_Dopune>
    <Broj_x0020_Akta_x0020__x0028_npr_x002e__x0020_01_x002d_120_x002f_05_x0029_ xmlns="88c31fff-4aeb-4d06-8e23-96c05bf81695">UV-122-02-1-1499-6-23</Broj_x0020_Akta_x0020__x0028_npr_x002e__x0020_01_x002d_120_x002f_05_x0029_>
    <Status xmlns="88c31fff-4aeb-4d06-8e23-96c05bf81695">Na snazi</Status>
    <Broj_x0020_neobjavljenog_x0020_osnovnog_x0020_akta xmlns="88c31fff-4aeb-4d06-8e23-96c05bf81695" xsi:nil="true"/>
    <Datum_x0020_donosenja xmlns="88c31fff-4aeb-4d06-8e23-96c05bf81695">2023-08-28T22:00:00+00:00</Datum_x0020_donosenja>
    <Vrsta_x0020_Akta xmlns="88c31fff-4aeb-4d06-8e23-96c05bf81695">Odluka UV</Vrsta_x0020_Akta>
    <Napomena xmlns="b2d5d4c4-c7da-4c1e-ab26-413a9cdd60ac">-7. i 8. sjednica UV CBBIH 
-  odluka stupa na snagu osmog dana od dana objavljivanja u „Službenom glasniku BiH“, a primjenjivat će se od 01.01.2024. godine.
-  odluka će se objaviti i u „Službenim novinama Federacije BiH“, „Službenom glasniku Republike Srpske“ i „Službenom glasniku Brčko distrikta BiH“.
 - odluka je objavljena na intranetu 01.09.2023. godine u 13:42 h
- objavljena u „Službenom glasniku BiH“ broj 61/23 od 05.09.2023.godine i „Službenom glasniku Republike Srpske“br. 080/2023 od 13.09.2023. godine 
</Napomena>
    <Godina_x0020_dono_x0161_enja xmlns="88c31fff-4aeb-4d06-8e23-96c05bf81695">2023</Godina_x0020_dono_x0161_enja>
    <Broj_x0020_osnovnog_x0020_akta0 xmlns="b2d5d4c4-c7da-4c1e-ab26-413a9cdd60ac">1568</Broj_x0020_osnovnog_x0020_akta0>
    <Karakter_x0020_Akta xmlns="88c31fff-4aeb-4d06-8e23-96c05bf81695">Izmjena/Dopuna</Karakter_x0020_Akta>
    <_dlc_DocId xmlns="4eac048a-4bc3-4d77-b3e5-b66a5696d6e2">FC3YXX4KJQNR-1644623942-1654</_dlc_DocId>
    <_dlc_DocIdUrl xmlns="4eac048a-4bc3-4d77-b3e5-b66a5696d6e2">
      <Url>http://intranet/dokumenti/_layouts/15/DocIdRedir.aspx?ID=FC3YXX4KJQNR-1644623942-1654</Url>
      <Description>FC3YXX4KJQNR-1644623942-1654</Description>
    </_dlc_DocIdUrl>
  </documentManagement>
</p:properties>
</file>

<file path=customXml/itemProps1.xml><?xml version="1.0" encoding="utf-8"?>
<ds:datastoreItem xmlns:ds="http://schemas.openxmlformats.org/officeDocument/2006/customXml" ds:itemID="{28E4E38D-B3F7-4FED-928B-BD19B099F6B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4495915-FEE7-46FF-97F8-FE39E2FF8F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9C72BE-49FE-4B4F-AFAE-16207FF089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c31fff-4aeb-4d06-8e23-96c05bf81695"/>
    <ds:schemaRef ds:uri="b2d5d4c4-c7da-4c1e-ab26-413a9cdd60ac"/>
    <ds:schemaRef ds:uri="4eac048a-4bc3-4d77-b3e5-b66a5696d6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0C018A-2043-4E19-92F4-9C4E785D7D55}">
  <ds:schemaRefs>
    <ds:schemaRef ds:uri="http://schemas.microsoft.com/office/2006/metadata/properties"/>
    <ds:schemaRef ds:uri="http://schemas.microsoft.com/office/infopath/2007/PartnerControls"/>
    <ds:schemaRef ds:uri="b2d5d4c4-c7da-4c1e-ab26-413a9cdd60ac"/>
    <ds:schemaRef ds:uri="88c31fff-4aeb-4d06-8e23-96c05bf81695"/>
    <ds:schemaRef ds:uri="4eac048a-4bc3-4d77-b3e5-b66a5696d6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Odluka o izmjeni i dopuni Odluke o utvrđivanju tarife naknada za usluge koje vrši Centralna banka Bosne i Hercegovine</vt:lpstr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Odluka o izmjeni i dopuni Odluke o utvrđivanju tarife naknada za usluge koje vrši Centralna banka Bosne i Hercegovine</dc:title>
  <dc:creator>Nedjo Gutalj</dc:creator>
  <cp:lastModifiedBy>Damir Soco</cp:lastModifiedBy>
  <cp:revision>7</cp:revision>
  <cp:lastPrinted>2023-08-29T12:56:00Z</cp:lastPrinted>
  <dcterms:created xsi:type="dcterms:W3CDTF">2024-10-02T09:24:00Z</dcterms:created>
  <dcterms:modified xsi:type="dcterms:W3CDTF">2024-10-03T14:00:00Z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0x0101001989AB58F4115D42929AFF8EFDEE8654</vt:lpwstr>
  </property>
  <property fmtid="{D5CDD505-2E9C-101B-9397-08002B2CF9AE}" pid="3" name="_dlc_DocIdItemGuid">
    <vt:lpwstr>de015613-0951-4ddc-aa1d-23872f5b0259</vt:lpwstr>
  </property>
</Properties>
</file>