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spacing w:after="0" w:line="240" w:lineRule="auto"/>
        <w:jc w:val="right"/>
        <w:outlineLvl w:val="4"/>
        <w:rPr>
          <w:rFonts w:ascii="Times New Roman" w:eastAsia="Times New Roman" w:hAnsi="Times New Roman" w:cs="Times New Roman"/>
          <w:b/>
          <w:bCs/>
          <w:sz w:val="24"/>
          <w:szCs w:val="24"/>
          <w:lang w:val="bs-Latn-BA"/>
        </w:rPr>
      </w:pPr>
    </w:p>
    <w:p>
      <w:pPr>
        <w:widowControl w:val="0"/>
        <w:spacing w:after="0" w:line="240" w:lineRule="auto"/>
        <w:jc w:val="right"/>
        <w:outlineLvl w:val="4"/>
        <w:rPr>
          <w:rFonts w:ascii="Times New Roman" w:eastAsia="Times New Roman" w:hAnsi="Times New Roman" w:cs="Times New Roman"/>
          <w:b/>
          <w:bCs/>
          <w:sz w:val="24"/>
          <w:szCs w:val="24"/>
          <w:lang w:val="bs-Latn-BA"/>
        </w:rPr>
      </w:pPr>
    </w:p>
    <w:p>
      <w:pPr>
        <w:widowControl w:val="0"/>
        <w:spacing w:after="0" w:line="240" w:lineRule="auto"/>
        <w:jc w:val="both"/>
        <w:outlineLvl w:val="4"/>
        <w:rPr>
          <w:rFonts w:ascii="Times New Roman" w:eastAsia="Times New Roman" w:hAnsi="Times New Roman" w:cs="Times New Roman"/>
          <w:bCs/>
          <w:sz w:val="24"/>
          <w:szCs w:val="24"/>
          <w:lang w:val="bs-Latn-BA"/>
        </w:rPr>
      </w:pPr>
      <w:r>
        <w:rPr>
          <w:rFonts w:ascii="Times New Roman" w:eastAsia="Times New Roman" w:hAnsi="Times New Roman" w:cs="Times New Roman"/>
          <w:bCs/>
          <w:sz w:val="24"/>
          <w:szCs w:val="24"/>
          <w:lang w:val="bs-Latn-BA"/>
        </w:rPr>
        <w:t>Na osnovu člana 2. stav (3) tačaka c) i i), člana 7. stav (1) tačka b) i članova 59. i 70. Zakona o Centralnoj banci Bosne i Hercegovine (“Službeni glasnik BiH“, br. 01/97, 29/02, 8/03, 13/03, 14/03, 9/05, 76/06 i 32/07) i člana 6. stava (1) tačke a) i d) Zakona o zaštiti ličnih podataka (“Službeni glasnik BiH”, 49/06, 76/11 i 89/11), Upravno vijeće Centralne banke Bosne i Hercegovine, na 8. sjednici održanoj dana 22.05.2024. godine, donosi</w:t>
      </w:r>
    </w:p>
    <w:p>
      <w:pPr>
        <w:widowControl w:val="0"/>
        <w:spacing w:after="0" w:line="240" w:lineRule="auto"/>
        <w:jc w:val="both"/>
        <w:outlineLvl w:val="4"/>
        <w:rPr>
          <w:rFonts w:ascii="Times New Roman" w:eastAsia="Times New Roman" w:hAnsi="Times New Roman" w:cs="Times New Roman"/>
          <w:bCs/>
          <w:sz w:val="24"/>
          <w:szCs w:val="24"/>
          <w:lang w:val="bs-Latn-BA"/>
        </w:rPr>
      </w:pPr>
    </w:p>
    <w:p>
      <w:pPr>
        <w:widowControl w:val="0"/>
        <w:spacing w:after="0" w:line="240" w:lineRule="auto"/>
        <w:jc w:val="both"/>
        <w:outlineLvl w:val="4"/>
        <w:rPr>
          <w:rFonts w:ascii="Times New Roman" w:eastAsia="Times New Roman" w:hAnsi="Times New Roman" w:cs="Times New Roman"/>
          <w:bCs/>
          <w:sz w:val="24"/>
          <w:szCs w:val="24"/>
          <w:lang w:val="bs-Latn-BA"/>
        </w:rPr>
      </w:pPr>
    </w:p>
    <w:p>
      <w:pPr>
        <w:spacing w:after="0" w:line="240" w:lineRule="auto"/>
        <w:jc w:val="center"/>
        <w:rPr>
          <w:rFonts w:ascii="Times New Roman" w:hAnsi="Times New Roman" w:cs="Times New Roman"/>
          <w:b/>
          <w:sz w:val="24"/>
          <w:szCs w:val="24"/>
          <w:lang w:val="sr-Latn-BA"/>
        </w:rPr>
      </w:pPr>
      <w:r>
        <w:rPr>
          <w:rFonts w:ascii="Times New Roman" w:hAnsi="Times New Roman" w:cs="Times New Roman"/>
          <w:b/>
          <w:sz w:val="24"/>
          <w:szCs w:val="24"/>
          <w:lang w:val="sr-Latn-BA"/>
        </w:rPr>
        <w:t>ODLUKU</w:t>
      </w:r>
    </w:p>
    <w:p>
      <w:pPr>
        <w:spacing w:after="0" w:line="240" w:lineRule="auto"/>
        <w:jc w:val="center"/>
        <w:rPr>
          <w:rFonts w:ascii="Times New Roman" w:eastAsia="Times New Roman" w:hAnsi="Times New Roman" w:cs="Times New Roman"/>
          <w:b/>
          <w:sz w:val="24"/>
          <w:szCs w:val="24"/>
          <w:lang w:val="bs-Latn-BA"/>
        </w:rPr>
      </w:pPr>
      <w:r>
        <w:rPr>
          <w:rFonts w:ascii="Times New Roman" w:hAnsi="Times New Roman" w:cs="Times New Roman"/>
          <w:b/>
          <w:sz w:val="24"/>
          <w:szCs w:val="24"/>
          <w:lang w:val="sr-Latn-BA"/>
        </w:rPr>
        <w:t xml:space="preserve">o izmjenama i dopunama Odluke o </w:t>
      </w:r>
      <w:r>
        <w:rPr>
          <w:rFonts w:ascii="Times New Roman" w:eastAsia="Times New Roman" w:hAnsi="Times New Roman" w:cs="Times New Roman"/>
          <w:b/>
          <w:sz w:val="24"/>
          <w:szCs w:val="24"/>
          <w:lang w:val="bs-Latn-BA"/>
        </w:rPr>
        <w:t>Centralnom registru kredita</w:t>
      </w:r>
    </w:p>
    <w:p>
      <w:pPr>
        <w:spacing w:after="0" w:line="240" w:lineRule="auto"/>
        <w:jc w:val="center"/>
        <w:rPr>
          <w:rFonts w:ascii="Times New Roman" w:hAnsi="Times New Roman" w:cs="Times New Roman"/>
          <w:color w:val="000000" w:themeColor="text1"/>
          <w:sz w:val="24"/>
          <w:szCs w:val="24"/>
          <w:lang w:val="sr-Latn-BA"/>
        </w:rPr>
      </w:pPr>
      <w:r>
        <w:rPr>
          <w:rFonts w:ascii="Times New Roman" w:eastAsia="Times New Roman" w:hAnsi="Times New Roman" w:cs="Times New Roman"/>
          <w:b/>
          <w:sz w:val="24"/>
          <w:szCs w:val="24"/>
          <w:lang w:val="bs-Latn-BA"/>
        </w:rPr>
        <w:t>poslovnih subjekata i fizičkih lica u Bosni i Hercegovini</w:t>
      </w:r>
    </w:p>
    <w:p>
      <w:pPr>
        <w:spacing w:after="0" w:line="240" w:lineRule="auto"/>
        <w:jc w:val="both"/>
        <w:rPr>
          <w:rFonts w:ascii="Times New Roman" w:hAnsi="Times New Roman" w:cs="Times New Roman"/>
          <w:color w:val="000000" w:themeColor="text1"/>
          <w:sz w:val="24"/>
          <w:szCs w:val="24"/>
          <w:lang w:val="sr-Latn-BA"/>
        </w:rPr>
      </w:pPr>
    </w:p>
    <w:p>
      <w:pPr>
        <w:spacing w:after="0" w:line="240" w:lineRule="auto"/>
        <w:jc w:val="both"/>
        <w:rPr>
          <w:rFonts w:ascii="Times New Roman" w:hAnsi="Times New Roman" w:cs="Times New Roman"/>
          <w:color w:val="000000" w:themeColor="text1"/>
          <w:sz w:val="24"/>
          <w:szCs w:val="24"/>
          <w:lang w:val="sr-Latn-BA"/>
        </w:rPr>
      </w:pPr>
    </w:p>
    <w:p>
      <w:pPr>
        <w:spacing w:after="120" w:line="240" w:lineRule="auto"/>
        <w:jc w:val="center"/>
        <w:rPr>
          <w:rFonts w:ascii="Times New Roman" w:hAnsi="Times New Roman" w:cs="Times New Roman"/>
          <w:b/>
          <w:color w:val="000000" w:themeColor="text1"/>
          <w:sz w:val="24"/>
          <w:szCs w:val="24"/>
          <w:lang w:val="sr-Latn-BA"/>
        </w:rPr>
      </w:pPr>
      <w:r>
        <w:rPr>
          <w:rFonts w:ascii="Times New Roman" w:hAnsi="Times New Roman" w:cs="Times New Roman"/>
          <w:b/>
          <w:color w:val="000000" w:themeColor="text1"/>
          <w:sz w:val="24"/>
          <w:szCs w:val="24"/>
          <w:lang w:val="sr-Latn-BA"/>
        </w:rPr>
        <w:t>Član 1.</w:t>
      </w:r>
    </w:p>
    <w:p>
      <w:pPr>
        <w:spacing w:after="120" w:line="240" w:lineRule="auto"/>
        <w:jc w:val="both"/>
        <w:rPr>
          <w:rFonts w:ascii="Times New Roman" w:hAnsi="Times New Roman" w:cs="Times New Roman"/>
          <w:sz w:val="24"/>
          <w:szCs w:val="24"/>
          <w:lang w:val="sr-Latn-BA"/>
        </w:rPr>
      </w:pPr>
      <w:r>
        <w:rPr>
          <w:rFonts w:ascii="Times New Roman" w:hAnsi="Times New Roman" w:cs="Times New Roman"/>
          <w:sz w:val="24"/>
          <w:szCs w:val="24"/>
          <w:lang w:val="sr-Latn-BA"/>
        </w:rPr>
        <w:t>U Odluci o Centralnom registru kredita poslovnih subjekata i fizičkih lica u Bosni i Hercegovini (“Službeni glasnik BiH”, br. 44/19 i 77/21) u članu 8. iza stava (3) dodaje se novi stav (4) koji glasi:</w:t>
      </w:r>
    </w:p>
    <w:p>
      <w:pPr>
        <w:spacing w:after="120" w:line="240" w:lineRule="auto"/>
        <w:jc w:val="both"/>
        <w:rPr>
          <w:rFonts w:ascii="Times New Roman" w:hAnsi="Times New Roman" w:cs="Times New Roman"/>
          <w:sz w:val="24"/>
          <w:szCs w:val="24"/>
          <w:lang w:val="sr-Latn-BA"/>
        </w:rPr>
      </w:pPr>
      <w:r>
        <w:rPr>
          <w:rFonts w:ascii="Times New Roman" w:hAnsi="Times New Roman" w:cs="Times New Roman"/>
          <w:sz w:val="24"/>
          <w:szCs w:val="24"/>
          <w:lang w:val="sr-Latn-BA"/>
        </w:rPr>
        <w:t>“(4) Sve akte u vezi sa distribucijom podataka iz Centralnog registra kredita potpisuje viceguverner Centralne banke nadležan za poslove Sektora za statistiku, servisiranje vanjskog duga, evropske integracije i platne sisteme.“.</w:t>
      </w:r>
    </w:p>
    <w:p>
      <w:pPr>
        <w:spacing w:after="120" w:line="240" w:lineRule="auto"/>
        <w:jc w:val="both"/>
        <w:rPr>
          <w:rFonts w:ascii="Times New Roman" w:hAnsi="Times New Roman" w:cs="Times New Roman"/>
          <w:sz w:val="24"/>
          <w:szCs w:val="24"/>
          <w:lang w:val="sr-Latn-BA"/>
        </w:rPr>
      </w:pPr>
    </w:p>
    <w:p>
      <w:pPr>
        <w:spacing w:after="120" w:line="240" w:lineRule="auto"/>
        <w:jc w:val="center"/>
        <w:rPr>
          <w:rFonts w:ascii="Times New Roman" w:hAnsi="Times New Roman" w:cs="Times New Roman"/>
          <w:b/>
          <w:sz w:val="24"/>
          <w:szCs w:val="24"/>
          <w:lang w:val="sr-Latn-BA"/>
        </w:rPr>
      </w:pPr>
      <w:r>
        <w:rPr>
          <w:rFonts w:ascii="Times New Roman" w:hAnsi="Times New Roman" w:cs="Times New Roman"/>
          <w:b/>
          <w:sz w:val="24"/>
          <w:szCs w:val="24"/>
          <w:lang w:val="sr-Latn-BA"/>
        </w:rPr>
        <w:t>Član 2.</w:t>
      </w:r>
    </w:p>
    <w:p>
      <w:pPr>
        <w:spacing w:after="120" w:line="240" w:lineRule="auto"/>
        <w:jc w:val="both"/>
        <w:rPr>
          <w:rFonts w:ascii="Times New Roman" w:hAnsi="Times New Roman" w:cs="Times New Roman"/>
          <w:sz w:val="24"/>
          <w:szCs w:val="24"/>
          <w:lang w:val="sr-Latn-BA"/>
        </w:rPr>
      </w:pPr>
      <w:r>
        <w:rPr>
          <w:rFonts w:ascii="Times New Roman" w:hAnsi="Times New Roman" w:cs="Times New Roman"/>
          <w:sz w:val="24"/>
          <w:szCs w:val="24"/>
          <w:lang w:val="sr-Latn-BA"/>
        </w:rPr>
        <w:t>U članu 9. u stavu (2) riječ “akta</w:t>
      </w:r>
      <w:r>
        <w:t xml:space="preserve"> </w:t>
      </w:r>
      <w:r>
        <w:rPr>
          <w:rFonts w:ascii="Times New Roman" w:hAnsi="Times New Roman" w:cs="Times New Roman"/>
          <w:sz w:val="24"/>
          <w:szCs w:val="24"/>
          <w:lang w:val="sr-Latn-BA"/>
        </w:rPr>
        <w:t>iz člana 10. stav (3) ove odluke“ zamjenjuju se riječima “potpunog i urednog zahtjeva iz člana 10. stav (2) ove odluke“.</w:t>
      </w:r>
    </w:p>
    <w:p>
      <w:pPr>
        <w:spacing w:after="120" w:line="240" w:lineRule="auto"/>
        <w:jc w:val="both"/>
        <w:rPr>
          <w:rFonts w:ascii="Times New Roman" w:hAnsi="Times New Roman" w:cs="Times New Roman"/>
          <w:sz w:val="24"/>
          <w:szCs w:val="24"/>
          <w:lang w:val="sr-Latn-BA"/>
        </w:rPr>
      </w:pPr>
    </w:p>
    <w:p>
      <w:pPr>
        <w:spacing w:after="120" w:line="240" w:lineRule="auto"/>
        <w:jc w:val="center"/>
        <w:rPr>
          <w:rFonts w:ascii="Times New Roman" w:hAnsi="Times New Roman" w:cs="Times New Roman"/>
          <w:b/>
          <w:sz w:val="24"/>
          <w:szCs w:val="24"/>
          <w:lang w:val="sr-Latn-BA"/>
        </w:rPr>
      </w:pPr>
      <w:r>
        <w:rPr>
          <w:rFonts w:ascii="Times New Roman" w:hAnsi="Times New Roman" w:cs="Times New Roman"/>
          <w:b/>
          <w:sz w:val="24"/>
          <w:szCs w:val="24"/>
          <w:lang w:val="sr-Latn-BA"/>
        </w:rPr>
        <w:t>Član 3.</w:t>
      </w:r>
    </w:p>
    <w:p>
      <w:pPr>
        <w:spacing w:after="120" w:line="240" w:lineRule="auto"/>
        <w:jc w:val="both"/>
        <w:rPr>
          <w:rFonts w:ascii="Times New Roman" w:hAnsi="Times New Roman" w:cs="Times New Roman"/>
          <w:sz w:val="24"/>
          <w:szCs w:val="24"/>
          <w:lang w:val="sr-Latn-BA"/>
        </w:rPr>
      </w:pPr>
      <w:r>
        <w:rPr>
          <w:rFonts w:ascii="Times New Roman" w:hAnsi="Times New Roman" w:cs="Times New Roman"/>
          <w:sz w:val="24"/>
          <w:szCs w:val="24"/>
          <w:lang w:val="sr-Latn-BA"/>
        </w:rPr>
        <w:t>U članu 10. u stavu (3) riječi “guverner Centralne banke svojim pojedinačnim aktom odobrava pristup traženim podacima“ zamjenjuju se riječima “Centralna banka će dostaviti tražene podatke ako je to potrebno da bi se obavili poslovi u okviru zakonom utvrđene nadležnosti“.</w:t>
      </w:r>
    </w:p>
    <w:p>
      <w:pPr>
        <w:spacing w:after="120" w:line="240" w:lineRule="auto"/>
        <w:jc w:val="both"/>
        <w:rPr>
          <w:rFonts w:ascii="Times New Roman" w:hAnsi="Times New Roman" w:cs="Times New Roman"/>
          <w:sz w:val="24"/>
          <w:szCs w:val="24"/>
          <w:lang w:val="sr-Latn-BA"/>
        </w:rPr>
      </w:pPr>
    </w:p>
    <w:p>
      <w:pPr>
        <w:spacing w:after="120" w:line="240" w:lineRule="auto"/>
        <w:jc w:val="center"/>
        <w:rPr>
          <w:rFonts w:ascii="Times New Roman" w:hAnsi="Times New Roman" w:cs="Times New Roman"/>
          <w:b/>
          <w:sz w:val="24"/>
          <w:szCs w:val="24"/>
          <w:lang w:val="sr-Latn-BA"/>
        </w:rPr>
      </w:pPr>
      <w:r>
        <w:rPr>
          <w:rFonts w:ascii="Times New Roman" w:hAnsi="Times New Roman" w:cs="Times New Roman"/>
          <w:b/>
          <w:sz w:val="24"/>
          <w:szCs w:val="24"/>
          <w:lang w:val="sr-Latn-BA"/>
        </w:rPr>
        <w:t>Član 4.</w:t>
      </w:r>
    </w:p>
    <w:p>
      <w:pPr>
        <w:spacing w:after="120" w:line="240" w:lineRule="auto"/>
        <w:jc w:val="both"/>
        <w:rPr>
          <w:rFonts w:ascii="Times New Roman" w:hAnsi="Times New Roman" w:cs="Times New Roman"/>
          <w:sz w:val="24"/>
          <w:szCs w:val="24"/>
          <w:lang w:val="sr-Latn-BA"/>
        </w:rPr>
      </w:pPr>
      <w:r>
        <w:rPr>
          <w:rFonts w:ascii="Times New Roman" w:hAnsi="Times New Roman" w:cs="Times New Roman"/>
          <w:sz w:val="24"/>
          <w:szCs w:val="24"/>
          <w:lang w:val="sr-Latn-BA"/>
        </w:rPr>
        <w:t>U članu 15. u stavu (1) iza riječi “</w:t>
      </w:r>
      <w:r>
        <w:rPr>
          <w:rFonts w:ascii="Times New Roman" w:eastAsia="Times New Roman" w:hAnsi="Times New Roman" w:cs="Times New Roman"/>
          <w:noProof/>
          <w:sz w:val="24"/>
          <w:szCs w:val="24"/>
          <w:lang w:val="bs-Latn-BA"/>
        </w:rPr>
        <w:t>njegovih ličnih podataka</w:t>
      </w:r>
      <w:r>
        <w:rPr>
          <w:rFonts w:ascii="Times New Roman" w:hAnsi="Times New Roman" w:cs="Times New Roman"/>
          <w:sz w:val="24"/>
          <w:szCs w:val="24"/>
          <w:lang w:val="sr-Latn-BA"/>
        </w:rPr>
        <w:t>“ dodaju se riječi “koje potpisuje viceguverner Centralne banke nadležan za poslove Sektora za statistiku, servisiranje vanjskog duga, evropske integracije i platne sisteme“.</w:t>
      </w:r>
    </w:p>
    <w:p>
      <w:pPr>
        <w:spacing w:after="120" w:line="240" w:lineRule="auto"/>
        <w:jc w:val="both"/>
        <w:rPr>
          <w:rFonts w:ascii="Times New Roman" w:hAnsi="Times New Roman" w:cs="Times New Roman"/>
          <w:sz w:val="24"/>
          <w:szCs w:val="24"/>
          <w:lang w:val="sr-Latn-BA"/>
        </w:rPr>
      </w:pPr>
    </w:p>
    <w:p>
      <w:pPr>
        <w:spacing w:after="120" w:line="240" w:lineRule="auto"/>
        <w:jc w:val="center"/>
        <w:rPr>
          <w:rFonts w:ascii="Times New Roman" w:hAnsi="Times New Roman" w:cs="Times New Roman"/>
          <w:b/>
          <w:sz w:val="24"/>
          <w:szCs w:val="24"/>
          <w:lang w:val="sr-Latn-BA"/>
        </w:rPr>
      </w:pPr>
      <w:r>
        <w:rPr>
          <w:rFonts w:ascii="Times New Roman" w:hAnsi="Times New Roman" w:cs="Times New Roman"/>
          <w:b/>
          <w:sz w:val="24"/>
          <w:szCs w:val="24"/>
          <w:lang w:val="sr-Latn-BA"/>
        </w:rPr>
        <w:t>Član 5.</w:t>
      </w:r>
    </w:p>
    <w:p>
      <w:pPr>
        <w:spacing w:after="120" w:line="240" w:lineRule="auto"/>
        <w:jc w:val="both"/>
        <w:rPr>
          <w:rFonts w:ascii="Times New Roman" w:hAnsi="Times New Roman" w:cs="Times New Roman"/>
          <w:sz w:val="24"/>
          <w:szCs w:val="24"/>
          <w:lang w:val="sr-Latn-BA"/>
        </w:rPr>
      </w:pPr>
      <w:r>
        <w:rPr>
          <w:rFonts w:ascii="Times New Roman" w:hAnsi="Times New Roman" w:cs="Times New Roman"/>
          <w:sz w:val="24"/>
          <w:szCs w:val="24"/>
          <w:lang w:val="sr-Latn-BA"/>
        </w:rPr>
        <w:t>(1) U članu 16. iza stava (1) dodaje se novi stav (2) koji glasi:</w:t>
      </w:r>
    </w:p>
    <w:p>
      <w:pPr>
        <w:spacing w:after="120" w:line="240" w:lineRule="auto"/>
        <w:jc w:val="both"/>
        <w:rPr>
          <w:rFonts w:ascii="Times New Roman" w:hAnsi="Times New Roman" w:cs="Times New Roman"/>
          <w:sz w:val="24"/>
          <w:szCs w:val="24"/>
          <w:lang w:val="sr-Latn-BA"/>
        </w:rPr>
      </w:pPr>
      <w:r>
        <w:rPr>
          <w:rFonts w:ascii="Times New Roman" w:hAnsi="Times New Roman" w:cs="Times New Roman"/>
          <w:sz w:val="24"/>
          <w:szCs w:val="24"/>
          <w:lang w:val="sr-Latn-BA"/>
        </w:rPr>
        <w:t xml:space="preserve">“Ukoliko Centralna banka izdaje izlaznu fakturu za usluge iz stava (1) ovog člana, potpisuje je </w:t>
      </w:r>
      <w:r>
        <w:rPr>
          <w:rFonts w:ascii="Times New Roman" w:eastAsia="Times New Roman" w:hAnsi="Times New Roman" w:cs="Times New Roman"/>
          <w:sz w:val="24"/>
          <w:szCs w:val="20"/>
          <w:lang w:val="bs-Latn-BA"/>
        </w:rPr>
        <w:t>viceguverner Centralne banke nadležan za poslove Sektora za statistiku, servisiranje vanjskog duga, evropske integracije i platne sisteme.“.</w:t>
      </w:r>
    </w:p>
    <w:p>
      <w:pPr>
        <w:spacing w:after="120" w:line="240" w:lineRule="auto"/>
        <w:jc w:val="both"/>
        <w:rPr>
          <w:rFonts w:ascii="Times New Roman" w:hAnsi="Times New Roman" w:cs="Times New Roman"/>
          <w:sz w:val="24"/>
          <w:szCs w:val="24"/>
          <w:lang w:val="sr-Latn-BA"/>
        </w:rPr>
      </w:pPr>
      <w:r>
        <w:rPr>
          <w:rFonts w:ascii="Times New Roman" w:hAnsi="Times New Roman" w:cs="Times New Roman"/>
          <w:sz w:val="24"/>
          <w:szCs w:val="24"/>
          <w:lang w:val="sr-Latn-BA"/>
        </w:rPr>
        <w:t>(2) Dosadašnji stavovi (2), (3) i (4) postaju stavovi (3), (4) i (5).</w:t>
      </w:r>
    </w:p>
    <w:p>
      <w:pPr>
        <w:spacing w:after="120" w:line="240" w:lineRule="auto"/>
        <w:jc w:val="both"/>
        <w:rPr>
          <w:rFonts w:ascii="Times New Roman" w:eastAsia="Times New Roman" w:hAnsi="Times New Roman" w:cs="Times New Roman"/>
          <w:noProof/>
          <w:sz w:val="24"/>
          <w:szCs w:val="24"/>
          <w:lang w:val="bs-Latn-BA"/>
        </w:rPr>
      </w:pPr>
    </w:p>
    <w:p>
      <w:pPr>
        <w:spacing w:after="120" w:line="240" w:lineRule="auto"/>
        <w:jc w:val="center"/>
        <w:rPr>
          <w:rFonts w:ascii="Times New Roman" w:eastAsia="Times New Roman" w:hAnsi="Times New Roman" w:cs="Times New Roman"/>
          <w:b/>
          <w:noProof/>
          <w:sz w:val="24"/>
          <w:szCs w:val="24"/>
          <w:lang w:val="bs-Latn-BA"/>
        </w:rPr>
      </w:pPr>
      <w:r>
        <w:rPr>
          <w:rFonts w:ascii="Times New Roman" w:eastAsia="Times New Roman" w:hAnsi="Times New Roman" w:cs="Times New Roman"/>
          <w:b/>
          <w:noProof/>
          <w:sz w:val="24"/>
          <w:szCs w:val="24"/>
          <w:lang w:val="bs-Latn-BA"/>
        </w:rPr>
        <w:lastRenderedPageBreak/>
        <w:t>Član 6.</w:t>
      </w:r>
    </w:p>
    <w:p>
      <w:pPr>
        <w:spacing w:after="120" w:line="240" w:lineRule="auto"/>
        <w:jc w:val="both"/>
        <w:rPr>
          <w:rFonts w:ascii="Times New Roman" w:hAnsi="Times New Roman" w:cs="Times New Roman"/>
          <w:sz w:val="24"/>
          <w:szCs w:val="24"/>
          <w:lang w:val="sr-Latn-BA"/>
        </w:rPr>
      </w:pPr>
      <w:r>
        <w:rPr>
          <w:rFonts w:ascii="Times New Roman" w:hAnsi="Times New Roman" w:cs="Times New Roman"/>
          <w:sz w:val="24"/>
          <w:szCs w:val="24"/>
          <w:lang w:val="sr-Latn-BA"/>
        </w:rPr>
        <w:t>U članu 17. u stavu (4) riječi “</w:t>
      </w:r>
      <w:r>
        <w:rPr>
          <w:rFonts w:ascii="Times New Roman" w:eastAsia="Times New Roman" w:hAnsi="Times New Roman" w:cs="Times New Roman"/>
          <w:sz w:val="24"/>
          <w:szCs w:val="20"/>
          <w:lang w:val="bs-Latn-BA"/>
        </w:rPr>
        <w:t xml:space="preserve">guverner Centralne banke“ </w:t>
      </w:r>
      <w:r>
        <w:rPr>
          <w:rFonts w:ascii="Times New Roman" w:hAnsi="Times New Roman" w:cs="Times New Roman"/>
          <w:sz w:val="24"/>
          <w:szCs w:val="24"/>
          <w:lang w:val="sr-Latn-BA"/>
        </w:rPr>
        <w:t>zamjenjuju</w:t>
      </w:r>
      <w:r>
        <w:rPr>
          <w:rFonts w:ascii="Times New Roman" w:eastAsia="Times New Roman" w:hAnsi="Times New Roman" w:cs="Times New Roman"/>
          <w:sz w:val="24"/>
          <w:szCs w:val="20"/>
          <w:lang w:val="bs-Latn-BA"/>
        </w:rPr>
        <w:t xml:space="preserve"> se riječima “viceguverner Centralne banke nadležan za poslove Sektora za statistiku, servisiranje vanjskog duga, evropske integracije i platne sisteme“.</w:t>
      </w:r>
    </w:p>
    <w:p>
      <w:pPr>
        <w:spacing w:after="120" w:line="240" w:lineRule="auto"/>
        <w:jc w:val="both"/>
        <w:rPr>
          <w:rFonts w:ascii="Times New Roman" w:eastAsia="Times New Roman" w:hAnsi="Times New Roman" w:cs="Times New Roman"/>
          <w:noProof/>
          <w:sz w:val="24"/>
          <w:szCs w:val="24"/>
          <w:lang w:val="bs-Latn-BA"/>
        </w:rPr>
      </w:pPr>
    </w:p>
    <w:p>
      <w:pPr>
        <w:spacing w:after="120" w:line="240" w:lineRule="auto"/>
        <w:jc w:val="center"/>
        <w:rPr>
          <w:rFonts w:ascii="Times New Roman" w:hAnsi="Times New Roman" w:cs="Times New Roman"/>
          <w:b/>
          <w:sz w:val="24"/>
          <w:szCs w:val="24"/>
          <w:lang w:val="sr-Latn-BA"/>
        </w:rPr>
      </w:pPr>
      <w:r>
        <w:rPr>
          <w:rFonts w:ascii="Times New Roman" w:hAnsi="Times New Roman" w:cs="Times New Roman"/>
          <w:b/>
          <w:sz w:val="24"/>
          <w:szCs w:val="24"/>
          <w:lang w:val="sr-Latn-BA"/>
        </w:rPr>
        <w:t>Član 7.</w:t>
      </w:r>
    </w:p>
    <w:p>
      <w:pPr>
        <w:spacing w:after="120" w:line="240" w:lineRule="auto"/>
        <w:jc w:val="both"/>
        <w:rPr>
          <w:rFonts w:ascii="Times New Roman" w:hAnsi="Times New Roman" w:cs="Times New Roman"/>
          <w:sz w:val="24"/>
          <w:szCs w:val="24"/>
          <w:lang w:val="sr-Latn-BA"/>
        </w:rPr>
      </w:pPr>
      <w:r>
        <w:rPr>
          <w:rFonts w:ascii="Times New Roman" w:hAnsi="Times New Roman" w:cs="Times New Roman"/>
          <w:sz w:val="24"/>
          <w:szCs w:val="24"/>
          <w:lang w:val="sr-Latn-BA"/>
        </w:rPr>
        <w:t xml:space="preserve">(1) Ova odluka stupa na snagu osmog dana od dana njenog objavljivanja u “Službenom glasniku BiH“, a </w:t>
      </w:r>
      <w:proofErr w:type="spellStart"/>
      <w:r>
        <w:rPr>
          <w:rFonts w:ascii="Times New Roman" w:hAnsi="Times New Roman" w:cs="Times New Roman"/>
          <w:sz w:val="24"/>
          <w:szCs w:val="24"/>
          <w:lang w:val="sr-Latn-BA"/>
        </w:rPr>
        <w:t>primjenjivat</w:t>
      </w:r>
      <w:proofErr w:type="spellEnd"/>
      <w:r>
        <w:rPr>
          <w:rFonts w:ascii="Times New Roman" w:hAnsi="Times New Roman" w:cs="Times New Roman"/>
          <w:sz w:val="24"/>
          <w:szCs w:val="24"/>
          <w:lang w:val="sr-Latn-BA"/>
        </w:rPr>
        <w:t xml:space="preserve"> će se od 01.07.2024. godine.</w:t>
      </w:r>
    </w:p>
    <w:p>
      <w:pPr>
        <w:spacing w:after="120" w:line="240" w:lineRule="auto"/>
        <w:jc w:val="both"/>
        <w:rPr>
          <w:rFonts w:ascii="Times New Roman" w:hAnsi="Times New Roman" w:cs="Times New Roman"/>
          <w:sz w:val="24"/>
          <w:szCs w:val="24"/>
          <w:lang w:val="sr-Latn-BA"/>
        </w:rPr>
      </w:pPr>
      <w:r>
        <w:rPr>
          <w:rFonts w:ascii="Times New Roman" w:hAnsi="Times New Roman" w:cs="Times New Roman"/>
          <w:sz w:val="24"/>
          <w:szCs w:val="24"/>
          <w:lang w:val="sr-Latn-BA"/>
        </w:rPr>
        <w:t>(2) Ova odluka će se objaviti i u “Službenim novinama Federacije BiH”, “Službenom glasniku Republike Srpske” i “Službenom glasniku Brčko distrikta BiH”.</w:t>
      </w:r>
    </w:p>
    <w:p>
      <w:pPr>
        <w:spacing w:after="0" w:line="240" w:lineRule="auto"/>
        <w:jc w:val="both"/>
        <w:rPr>
          <w:rFonts w:ascii="Times New Roman" w:hAnsi="Times New Roman" w:cs="Times New Roman"/>
          <w:sz w:val="24"/>
          <w:szCs w:val="24"/>
          <w:lang w:val="sr-Latn-BA"/>
        </w:rPr>
      </w:pPr>
    </w:p>
    <w:p>
      <w:pPr>
        <w:spacing w:after="0" w:line="240" w:lineRule="auto"/>
        <w:jc w:val="both"/>
        <w:rPr>
          <w:rFonts w:ascii="Times New Roman" w:hAnsi="Times New Roman" w:cs="Times New Roman"/>
          <w:sz w:val="24"/>
          <w:szCs w:val="24"/>
          <w:lang w:val="sr-Latn-BA"/>
        </w:rPr>
      </w:pPr>
    </w:p>
    <w:p>
      <w:pPr>
        <w:spacing w:after="0" w:line="240" w:lineRule="auto"/>
        <w:jc w:val="both"/>
        <w:rPr>
          <w:rFonts w:ascii="Times New Roman" w:hAnsi="Times New Roman" w:cs="Times New Roman"/>
          <w:sz w:val="24"/>
          <w:szCs w:val="24"/>
          <w:lang w:val="sr-Latn-BA"/>
        </w:rPr>
      </w:pPr>
    </w:p>
    <w:p>
      <w:pPr>
        <w:tabs>
          <w:tab w:val="center" w:pos="6804"/>
        </w:tabs>
        <w:spacing w:after="0" w:line="240" w:lineRule="auto"/>
        <w:rPr>
          <w:rFonts w:ascii="Times New Roman" w:hAnsi="Times New Roman" w:cs="Times New Roman"/>
          <w:b/>
          <w:sz w:val="24"/>
          <w:szCs w:val="24"/>
          <w:lang w:val="sr-Latn-BA"/>
        </w:rPr>
      </w:pPr>
      <w:r>
        <w:rPr>
          <w:rFonts w:ascii="Times New Roman" w:hAnsi="Times New Roman" w:cs="Times New Roman"/>
          <w:sz w:val="24"/>
          <w:szCs w:val="24"/>
          <w:lang w:val="sr-Latn-BA"/>
        </w:rPr>
        <w:tab/>
      </w:r>
      <w:r>
        <w:rPr>
          <w:rFonts w:ascii="Times New Roman" w:hAnsi="Times New Roman" w:cs="Times New Roman"/>
          <w:b/>
          <w:sz w:val="24"/>
          <w:szCs w:val="24"/>
          <w:lang w:val="sr-Latn-BA"/>
        </w:rPr>
        <w:t>Predsjedavajuća</w:t>
      </w:r>
    </w:p>
    <w:p>
      <w:pPr>
        <w:tabs>
          <w:tab w:val="center" w:pos="6804"/>
        </w:tabs>
        <w:spacing w:after="0" w:line="240" w:lineRule="auto"/>
        <w:rPr>
          <w:rFonts w:ascii="Times New Roman" w:hAnsi="Times New Roman" w:cs="Times New Roman"/>
          <w:sz w:val="24"/>
          <w:szCs w:val="24"/>
          <w:lang w:val="sr-Latn-BA"/>
        </w:rPr>
      </w:pPr>
      <w:r>
        <w:rPr>
          <w:rFonts w:ascii="Times New Roman" w:hAnsi="Times New Roman" w:cs="Times New Roman"/>
          <w:sz w:val="24"/>
          <w:szCs w:val="24"/>
          <w:lang w:val="sr-Latn-BA"/>
        </w:rPr>
        <w:t>Broj: UV-122-02-1-1084-3/24</w:t>
      </w:r>
      <w:bookmarkStart w:id="0" w:name="_GoBack"/>
      <w:bookmarkEnd w:id="0"/>
      <w:r>
        <w:rPr>
          <w:rFonts w:ascii="Times New Roman" w:hAnsi="Times New Roman" w:cs="Times New Roman"/>
          <w:sz w:val="24"/>
          <w:szCs w:val="24"/>
          <w:lang w:val="sr-Latn-BA"/>
        </w:rPr>
        <w:tab/>
      </w:r>
      <w:r>
        <w:rPr>
          <w:rFonts w:ascii="Times New Roman" w:hAnsi="Times New Roman" w:cs="Times New Roman"/>
          <w:b/>
          <w:sz w:val="24"/>
          <w:szCs w:val="24"/>
          <w:lang w:val="sr-Latn-BA"/>
        </w:rPr>
        <w:t>Upravnog vijeća Centralne banke</w:t>
      </w:r>
    </w:p>
    <w:p>
      <w:pPr>
        <w:tabs>
          <w:tab w:val="center" w:pos="6804"/>
        </w:tabs>
        <w:spacing w:after="0" w:line="240" w:lineRule="auto"/>
        <w:rPr>
          <w:rFonts w:ascii="Times New Roman" w:hAnsi="Times New Roman" w:cs="Times New Roman"/>
          <w:sz w:val="24"/>
          <w:szCs w:val="24"/>
          <w:lang w:val="sr-Latn-BA"/>
        </w:rPr>
      </w:pPr>
      <w:r>
        <w:rPr>
          <w:rFonts w:ascii="Times New Roman" w:hAnsi="Times New Roman" w:cs="Times New Roman"/>
          <w:sz w:val="24"/>
          <w:szCs w:val="24"/>
          <w:lang w:val="sr-Latn-BA"/>
        </w:rPr>
        <w:t>Sarajevo, 22.05.2024. godine</w:t>
      </w:r>
      <w:r>
        <w:rPr>
          <w:rFonts w:ascii="Times New Roman" w:hAnsi="Times New Roman" w:cs="Times New Roman"/>
          <w:sz w:val="24"/>
          <w:szCs w:val="24"/>
          <w:lang w:val="sr-Latn-BA"/>
        </w:rPr>
        <w:tab/>
      </w:r>
      <w:r>
        <w:rPr>
          <w:rFonts w:ascii="Times New Roman" w:hAnsi="Times New Roman" w:cs="Times New Roman"/>
          <w:b/>
          <w:sz w:val="24"/>
          <w:szCs w:val="24"/>
          <w:lang w:val="sr-Latn-BA"/>
        </w:rPr>
        <w:t>Bosne i Hercegovine</w:t>
      </w:r>
    </w:p>
    <w:p>
      <w:pPr>
        <w:tabs>
          <w:tab w:val="center" w:pos="6804"/>
        </w:tabs>
        <w:spacing w:after="0" w:line="240" w:lineRule="auto"/>
        <w:rPr>
          <w:rFonts w:ascii="Times New Roman" w:hAnsi="Times New Roman" w:cs="Times New Roman"/>
          <w:b/>
          <w:sz w:val="24"/>
          <w:szCs w:val="24"/>
          <w:lang w:val="sr-Latn-BA"/>
        </w:rPr>
      </w:pPr>
      <w:r>
        <w:rPr>
          <w:rFonts w:ascii="Times New Roman" w:hAnsi="Times New Roman" w:cs="Times New Roman"/>
          <w:sz w:val="24"/>
          <w:szCs w:val="24"/>
          <w:lang w:val="sr-Latn-BA"/>
        </w:rPr>
        <w:tab/>
      </w:r>
      <w:r>
        <w:rPr>
          <w:rFonts w:ascii="Times New Roman" w:hAnsi="Times New Roman" w:cs="Times New Roman"/>
          <w:b/>
          <w:sz w:val="24"/>
          <w:szCs w:val="24"/>
          <w:lang w:val="sr-Latn-BA"/>
        </w:rPr>
        <w:t>GUVERNERKA</w:t>
      </w:r>
    </w:p>
    <w:p>
      <w:pPr>
        <w:tabs>
          <w:tab w:val="center" w:pos="6804"/>
        </w:tabs>
        <w:spacing w:after="0" w:line="240" w:lineRule="auto"/>
        <w:rPr>
          <w:rFonts w:ascii="Times New Roman" w:hAnsi="Times New Roman" w:cs="Times New Roman"/>
          <w:sz w:val="24"/>
          <w:szCs w:val="24"/>
          <w:lang w:val="sr-Latn-BA"/>
        </w:rPr>
      </w:pPr>
      <w:r>
        <w:rPr>
          <w:rFonts w:ascii="Times New Roman" w:hAnsi="Times New Roman" w:cs="Times New Roman"/>
          <w:sz w:val="24"/>
          <w:szCs w:val="24"/>
          <w:lang w:val="sr-Latn-BA"/>
        </w:rPr>
        <w:tab/>
      </w:r>
      <w:r>
        <w:rPr>
          <w:rFonts w:ascii="Times New Roman" w:hAnsi="Times New Roman" w:cs="Times New Roman"/>
          <w:b/>
          <w:sz w:val="24"/>
          <w:szCs w:val="24"/>
          <w:lang w:val="sr-Latn-BA"/>
        </w:rPr>
        <w:t>dr. Jasmina Selimović</w:t>
      </w:r>
    </w:p>
    <w:sectPr>
      <w:footerReference w:type="default" r:id="rId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922806"/>
      <w:docPartObj>
        <w:docPartGallery w:val="Page Numbers (Bottom of Page)"/>
        <w:docPartUnique/>
      </w:docPartObj>
    </w:sdtPr>
    <w:sdtContent>
      <w:sdt>
        <w:sdtPr>
          <w:id w:val="-1769616900"/>
          <w:docPartObj>
            <w:docPartGallery w:val="Page Numbers (Top of Page)"/>
            <w:docPartUnique/>
          </w:docPartObj>
        </w:sdtPr>
        <w:sdtContent>
          <w:p>
            <w:pPr>
              <w:pStyle w:val="Footer"/>
              <w:jc w:val="right"/>
            </w:pP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8160B"/>
    <w:multiLevelType w:val="hybridMultilevel"/>
    <w:tmpl w:val="9B0A6BEC"/>
    <w:lvl w:ilvl="0" w:tplc="141A0017">
      <w:start w:val="1"/>
      <w:numFmt w:val="lowerLetter"/>
      <w:lvlText w:val="%1)"/>
      <w:lvlJc w:val="left"/>
      <w:pPr>
        <w:ind w:left="788" w:hanging="360"/>
      </w:pPr>
    </w:lvl>
    <w:lvl w:ilvl="1" w:tplc="141A0019" w:tentative="1">
      <w:start w:val="1"/>
      <w:numFmt w:val="lowerLetter"/>
      <w:lvlText w:val="%2."/>
      <w:lvlJc w:val="left"/>
      <w:pPr>
        <w:ind w:left="1508" w:hanging="360"/>
      </w:pPr>
    </w:lvl>
    <w:lvl w:ilvl="2" w:tplc="141A001B" w:tentative="1">
      <w:start w:val="1"/>
      <w:numFmt w:val="lowerRoman"/>
      <w:lvlText w:val="%3."/>
      <w:lvlJc w:val="right"/>
      <w:pPr>
        <w:ind w:left="2228" w:hanging="180"/>
      </w:pPr>
    </w:lvl>
    <w:lvl w:ilvl="3" w:tplc="141A000F" w:tentative="1">
      <w:start w:val="1"/>
      <w:numFmt w:val="decimal"/>
      <w:lvlText w:val="%4."/>
      <w:lvlJc w:val="left"/>
      <w:pPr>
        <w:ind w:left="2948" w:hanging="360"/>
      </w:pPr>
    </w:lvl>
    <w:lvl w:ilvl="4" w:tplc="141A0019" w:tentative="1">
      <w:start w:val="1"/>
      <w:numFmt w:val="lowerLetter"/>
      <w:lvlText w:val="%5."/>
      <w:lvlJc w:val="left"/>
      <w:pPr>
        <w:ind w:left="3668" w:hanging="360"/>
      </w:pPr>
    </w:lvl>
    <w:lvl w:ilvl="5" w:tplc="141A001B" w:tentative="1">
      <w:start w:val="1"/>
      <w:numFmt w:val="lowerRoman"/>
      <w:lvlText w:val="%6."/>
      <w:lvlJc w:val="right"/>
      <w:pPr>
        <w:ind w:left="4388" w:hanging="180"/>
      </w:pPr>
    </w:lvl>
    <w:lvl w:ilvl="6" w:tplc="141A000F" w:tentative="1">
      <w:start w:val="1"/>
      <w:numFmt w:val="decimal"/>
      <w:lvlText w:val="%7."/>
      <w:lvlJc w:val="left"/>
      <w:pPr>
        <w:ind w:left="5108" w:hanging="360"/>
      </w:pPr>
    </w:lvl>
    <w:lvl w:ilvl="7" w:tplc="141A0019" w:tentative="1">
      <w:start w:val="1"/>
      <w:numFmt w:val="lowerLetter"/>
      <w:lvlText w:val="%8."/>
      <w:lvlJc w:val="left"/>
      <w:pPr>
        <w:ind w:left="5828" w:hanging="360"/>
      </w:pPr>
    </w:lvl>
    <w:lvl w:ilvl="8" w:tplc="141A001B" w:tentative="1">
      <w:start w:val="1"/>
      <w:numFmt w:val="lowerRoman"/>
      <w:lvlText w:val="%9."/>
      <w:lvlJc w:val="right"/>
      <w:pPr>
        <w:ind w:left="6548" w:hanging="180"/>
      </w:pPr>
    </w:lvl>
  </w:abstractNum>
  <w:abstractNum w:abstractNumId="1" w15:restartNumberingAfterBreak="0">
    <w:nsid w:val="4F733188"/>
    <w:multiLevelType w:val="hybridMultilevel"/>
    <w:tmpl w:val="3A843668"/>
    <w:lvl w:ilvl="0" w:tplc="B2A02BF6">
      <w:start w:val="1"/>
      <w:numFmt w:val="lowerLetter"/>
      <w:lvlText w:val="%1)"/>
      <w:lvlJc w:val="left"/>
      <w:pPr>
        <w:ind w:left="720" w:hanging="360"/>
      </w:pPr>
      <w:rPr>
        <w:strike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5E83139C"/>
    <w:multiLevelType w:val="hybridMultilevel"/>
    <w:tmpl w:val="1340CA3C"/>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9E33B1-DCB2-4C8B-8CC4-D33658E0E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5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lang w:val="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lang w:val="en-U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778040">
      <w:bodyDiv w:val="1"/>
      <w:marLeft w:val="0"/>
      <w:marRight w:val="0"/>
      <w:marTop w:val="0"/>
      <w:marBottom w:val="0"/>
      <w:divBdr>
        <w:top w:val="none" w:sz="0" w:space="0" w:color="auto"/>
        <w:left w:val="none" w:sz="0" w:space="0" w:color="auto"/>
        <w:bottom w:val="none" w:sz="0" w:space="0" w:color="auto"/>
        <w:right w:val="none" w:sz="0" w:space="0" w:color="auto"/>
      </w:divBdr>
    </w:div>
    <w:div w:id="152582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2</Pages>
  <Words>415</Words>
  <Characters>2371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Damir Soco</dc:creator>
  <cp:keywords/>
  <dc:description/>
  <cp:lastModifiedBy>Damir Soco</cp:lastModifiedBy>
  <cp:revision>17</cp:revision>
  <cp:lastPrinted>2024-05-30T08:53:00Z</cp:lastPrinted>
  <dcterms:created xsi:type="dcterms:W3CDTF">2024-05-07T11:24:00Z</dcterms:created>
  <dcterms:modified xsi:type="dcterms:W3CDTF">2024-05-30T08:59:00Z</dcterms:modified>
</cp:coreProperties>
</file>