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center" w:pos="4536"/>
          <w:tab w:val="right" w:pos="9072"/>
        </w:tabs>
        <w:suppressAutoHyphens/>
        <w:spacing w:after="0" w:line="240" w:lineRule="auto"/>
        <w:jc w:val="both"/>
        <w:rPr>
          <w:rFonts w:ascii="Times New Roman" w:eastAsia="Times New Roman" w:hAnsi="Times New Roman" w:cs="Times New Roman"/>
          <w:b/>
          <w:noProof/>
          <w:sz w:val="24"/>
          <w:szCs w:val="24"/>
          <w:lang w:eastAsia="zh-CN"/>
        </w:rPr>
      </w:pPr>
      <w:r>
        <w:rPr>
          <w:rFonts w:ascii="Times New Roman" w:eastAsia="Times New Roman" w:hAnsi="Times New Roman" w:cs="Times New Roman"/>
          <w:bCs/>
          <w:noProof/>
          <w:sz w:val="24"/>
          <w:szCs w:val="24"/>
          <w:lang w:eastAsia="bs-Latn-BA"/>
        </w:rPr>
        <w:t>На основу члана 7. став 1. тачке б. и ф. и члана 70. Закона о Централној банци Босне и Херцеговине („Службени гласник БиХ“, бр. 1/97, 29/02, 8/03, 13/03, 14/03, 9/05, 76/06 и 32/07), Управни одбор Централне банке Босне и Херцеговине на 7. сједници од</w:t>
      </w:r>
      <w:r>
        <w:rPr>
          <w:rFonts w:ascii="Times New Roman" w:eastAsia="Times New Roman" w:hAnsi="Times New Roman" w:cs="Times New Roman"/>
          <w:bCs/>
          <w:noProof/>
          <w:sz w:val="24"/>
          <w:szCs w:val="24"/>
          <w:lang w:val="bs-Cyrl-BA" w:eastAsia="bs-Latn-BA"/>
        </w:rPr>
        <w:t>ржаној</w:t>
      </w:r>
      <w:r>
        <w:rPr>
          <w:rFonts w:ascii="Times New Roman" w:eastAsia="Times New Roman" w:hAnsi="Times New Roman" w:cs="Times New Roman"/>
          <w:bCs/>
          <w:noProof/>
          <w:sz w:val="24"/>
          <w:szCs w:val="24"/>
          <w:lang w:eastAsia="bs-Latn-BA"/>
        </w:rPr>
        <w:t xml:space="preserve"> 28.07.2023. godine </w:t>
      </w:r>
      <w:r>
        <w:rPr>
          <w:rFonts w:ascii="Times New Roman" w:eastAsia="Times New Roman" w:hAnsi="Times New Roman" w:cs="Times New Roman"/>
          <w:bCs/>
          <w:noProof/>
          <w:sz w:val="24"/>
          <w:szCs w:val="24"/>
          <w:lang w:val="bs-Cyrl-BA" w:eastAsia="bs-Latn-BA"/>
        </w:rPr>
        <w:t xml:space="preserve">и </w:t>
      </w:r>
      <w:r>
        <w:rPr>
          <w:rFonts w:ascii="Times New Roman" w:eastAsia="Times New Roman" w:hAnsi="Times New Roman" w:cs="Times New Roman"/>
          <w:bCs/>
          <w:noProof/>
          <w:sz w:val="24"/>
          <w:szCs w:val="24"/>
          <w:lang w:val="bs-Latn-BA" w:eastAsia="bs-Latn-BA"/>
        </w:rPr>
        <w:t xml:space="preserve">8. </w:t>
      </w:r>
      <w:r>
        <w:rPr>
          <w:rFonts w:ascii="Times New Roman" w:eastAsia="Times New Roman" w:hAnsi="Times New Roman" w:cs="Times New Roman"/>
          <w:bCs/>
          <w:noProof/>
          <w:sz w:val="24"/>
          <w:szCs w:val="24"/>
          <w:lang w:eastAsia="bs-Latn-BA"/>
        </w:rPr>
        <w:t>сједници од</w:t>
      </w:r>
      <w:r>
        <w:rPr>
          <w:rFonts w:ascii="Times New Roman" w:eastAsia="Times New Roman" w:hAnsi="Times New Roman" w:cs="Times New Roman"/>
          <w:bCs/>
          <w:noProof/>
          <w:sz w:val="24"/>
          <w:szCs w:val="24"/>
          <w:lang w:val="bs-Cyrl-BA" w:eastAsia="bs-Latn-BA"/>
        </w:rPr>
        <w:t>ржаној</w:t>
      </w:r>
      <w:r>
        <w:rPr>
          <w:rFonts w:ascii="Times New Roman" w:eastAsia="Times New Roman" w:hAnsi="Times New Roman" w:cs="Times New Roman"/>
          <w:bCs/>
          <w:noProof/>
          <w:sz w:val="24"/>
          <w:szCs w:val="24"/>
          <w:lang w:val="bs-Latn-BA" w:eastAsia="bs-Latn-BA"/>
        </w:rPr>
        <w:t xml:space="preserve"> 29.08.202</w:t>
      </w:r>
      <w:r>
        <w:rPr>
          <w:rFonts w:ascii="Times New Roman" w:eastAsia="Times New Roman" w:hAnsi="Times New Roman" w:cs="Times New Roman"/>
          <w:bCs/>
          <w:noProof/>
          <w:sz w:val="24"/>
          <w:szCs w:val="24"/>
          <w:lang w:eastAsia="bs-Latn-BA"/>
        </w:rPr>
        <w:t>3. године доноси:</w:t>
      </w:r>
      <w:r>
        <w:rPr>
          <w:rFonts w:ascii="Times New Roman" w:eastAsia="Times New Roman" w:hAnsi="Times New Roman" w:cs="Times New Roman"/>
          <w:bCs/>
          <w:noProof/>
          <w:sz w:val="24"/>
          <w:szCs w:val="24"/>
          <w:lang w:eastAsia="zh-CN"/>
        </w:rPr>
        <w:t xml:space="preserve"> </w:t>
      </w:r>
    </w:p>
    <w:p>
      <w:pPr>
        <w:widowControl w:val="0"/>
        <w:tabs>
          <w:tab w:val="num" w:pos="0"/>
        </w:tabs>
        <w:suppressAutoHyphens/>
        <w:spacing w:after="0" w:line="240" w:lineRule="auto"/>
        <w:jc w:val="both"/>
        <w:outlineLvl w:val="0"/>
        <w:rPr>
          <w:rFonts w:ascii="Times New Roman" w:eastAsia="Times New Roman" w:hAnsi="Times New Roman" w:cs="Times New Roman"/>
          <w:iCs/>
          <w:noProof/>
          <w:sz w:val="24"/>
          <w:szCs w:val="24"/>
          <w:lang w:val="bs-Latn-BA" w:eastAsia="zh-CN"/>
        </w:rPr>
      </w:pPr>
    </w:p>
    <w:p>
      <w:pPr>
        <w:widowControl w:val="0"/>
        <w:tabs>
          <w:tab w:val="num" w:pos="0"/>
        </w:tabs>
        <w:suppressAutoHyphens/>
        <w:spacing w:after="0" w:line="240" w:lineRule="auto"/>
        <w:jc w:val="center"/>
        <w:outlineLvl w:val="0"/>
        <w:rPr>
          <w:rFonts w:ascii="Times New Roman" w:eastAsia="Times New Roman" w:hAnsi="Times New Roman" w:cs="Times New Roman"/>
          <w:iCs/>
          <w:noProof/>
          <w:sz w:val="24"/>
          <w:szCs w:val="24"/>
          <w:lang w:val="bs-Latn-BA" w:eastAsia="zh-CN"/>
        </w:rPr>
      </w:pPr>
    </w:p>
    <w:p>
      <w:pPr>
        <w:widowControl w:val="0"/>
        <w:tabs>
          <w:tab w:val="num" w:pos="0"/>
        </w:tabs>
        <w:suppressAutoHyphens/>
        <w:spacing w:after="0" w:line="240" w:lineRule="auto"/>
        <w:jc w:val="center"/>
        <w:outlineLvl w:val="0"/>
        <w:rPr>
          <w:rFonts w:ascii="Times New Roman" w:eastAsia="Times New Roman" w:hAnsi="Times New Roman" w:cs="Times New Roman"/>
          <w:iCs/>
          <w:noProof/>
          <w:sz w:val="24"/>
          <w:szCs w:val="24"/>
          <w:lang w:eastAsia="zh-CN"/>
        </w:rPr>
      </w:pPr>
      <w:r>
        <w:rPr>
          <w:rFonts w:ascii="Times New Roman" w:eastAsia="Times New Roman" w:hAnsi="Times New Roman" w:cs="Times New Roman"/>
          <w:iCs/>
          <w:noProof/>
          <w:sz w:val="24"/>
          <w:szCs w:val="24"/>
          <w:lang w:eastAsia="zh-CN"/>
        </w:rPr>
        <w:t>ОДЛУКУ</w:t>
      </w:r>
    </w:p>
    <w:p>
      <w:pPr>
        <w:widowControl w:val="0"/>
        <w:tabs>
          <w:tab w:val="num" w:pos="0"/>
        </w:tabs>
        <w:suppressAutoHyphens/>
        <w:spacing w:after="0" w:line="240" w:lineRule="auto"/>
        <w:jc w:val="center"/>
        <w:outlineLvl w:val="0"/>
        <w:rPr>
          <w:rFonts w:ascii="Times New Roman" w:eastAsia="Times New Roman" w:hAnsi="Times New Roman" w:cs="Times New Roman"/>
          <w:bCs/>
          <w:iCs/>
          <w:noProof/>
          <w:sz w:val="24"/>
          <w:szCs w:val="24"/>
          <w:lang w:eastAsia="zh-CN"/>
        </w:rPr>
      </w:pPr>
      <w:r>
        <w:rPr>
          <w:rFonts w:ascii="Times New Roman" w:eastAsia="Times New Roman" w:hAnsi="Times New Roman" w:cs="Times New Roman"/>
          <w:iCs/>
          <w:noProof/>
          <w:sz w:val="24"/>
          <w:szCs w:val="24"/>
          <w:lang w:eastAsia="zh-CN"/>
        </w:rPr>
        <w:t>о измјени и допуни Одлуке о утврђивању тарифе накнада за услуге које врши Централна банка Босне и Херцеговине</w:t>
      </w:r>
    </w:p>
    <w:p>
      <w:pPr>
        <w:widowControl w:val="0"/>
        <w:suppressAutoHyphens/>
        <w:spacing w:after="0" w:line="240" w:lineRule="auto"/>
        <w:rPr>
          <w:rFonts w:ascii="Times New Roman" w:eastAsia="Times New Roman" w:hAnsi="Times New Roman" w:cs="Times New Roman"/>
          <w:noProof/>
          <w:sz w:val="24"/>
          <w:szCs w:val="24"/>
          <w:lang w:val="bs-Latn-BA" w:eastAsia="zh-CN"/>
        </w:rPr>
      </w:pPr>
    </w:p>
    <w:p>
      <w:pPr>
        <w:widowControl w:val="0"/>
        <w:suppressAutoHyphens/>
        <w:spacing w:after="0" w:line="240" w:lineRule="auto"/>
        <w:jc w:val="center"/>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Члан 1.</w:t>
      </w:r>
    </w:p>
    <w:p>
      <w:pPr>
        <w:widowControl w:val="0"/>
        <w:suppressAutoHyphens/>
        <w:spacing w:after="0" w:line="240" w:lineRule="auto"/>
        <w:jc w:val="center"/>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w:t>
      </w:r>
      <w:r>
        <w:rPr>
          <w:rFonts w:ascii="Times New Roman" w:eastAsia="Times New Roman" w:hAnsi="Times New Roman" w:cs="Times New Roman"/>
          <w:noProof/>
          <w:sz w:val="24"/>
          <w:szCs w:val="24"/>
          <w:lang w:val="sr-Cyrl-RS" w:eastAsia="zh-CN"/>
        </w:rPr>
        <w:t>Предмет</w:t>
      </w:r>
      <w:r>
        <w:rPr>
          <w:rFonts w:ascii="Times New Roman" w:eastAsia="Times New Roman" w:hAnsi="Times New Roman" w:cs="Times New Roman"/>
          <w:noProof/>
          <w:sz w:val="24"/>
          <w:szCs w:val="24"/>
          <w:lang w:val="bs-Latn-BA" w:eastAsia="zh-CN"/>
        </w:rPr>
        <w:t>)</w:t>
      </w:r>
    </w:p>
    <w:p>
      <w:pPr>
        <w:widowControl w:val="0"/>
        <w:suppressAutoHyphens/>
        <w:spacing w:after="0" w:line="240" w:lineRule="auto"/>
        <w:jc w:val="both"/>
        <w:rPr>
          <w:rFonts w:ascii="Times New Roman" w:eastAsia="Times New Roman" w:hAnsi="Times New Roman" w:cs="Times New Roman"/>
          <w:noProof/>
          <w:sz w:val="24"/>
          <w:szCs w:val="24"/>
          <w:lang w:eastAsia="zh-CN"/>
        </w:rPr>
      </w:pPr>
      <w:r>
        <w:rPr>
          <w:rFonts w:ascii="Times New Roman" w:eastAsia="Times New Roman" w:hAnsi="Times New Roman" w:cs="Times New Roman"/>
          <w:noProof/>
          <w:sz w:val="24"/>
          <w:szCs w:val="24"/>
          <w:lang w:eastAsia="zh-CN"/>
        </w:rPr>
        <w:t>(1) У Одлуци о утврђивању тарифе накнада за услуге које врши Централна банка Босне и Херцеговине („Службени гласник БиХ“, бр. 10/21, 53/22 и 81/22), у Тарифи накнада која чини саставни дио Одлуке, у Тарифном броју 2. – Послови с банкама, додаје се тарифни став 2.3. и гласи:</w:t>
      </w:r>
    </w:p>
    <w:p>
      <w:pPr>
        <w:widowControl w:val="0"/>
        <w:suppressAutoHyphens/>
        <w:spacing w:after="0" w:line="240" w:lineRule="auto"/>
        <w:jc w:val="both"/>
        <w:rPr>
          <w:rFonts w:ascii="Times New Roman" w:eastAsia="Times New Roman" w:hAnsi="Times New Roman" w:cs="Times New Roman"/>
          <w:noProof/>
          <w:sz w:val="24"/>
          <w:szCs w:val="24"/>
          <w:highlight w:val="yellow"/>
          <w:lang w:val="bs-Latn-BA" w:eastAsia="zh-CN"/>
        </w:rP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3446"/>
        <w:gridCol w:w="2454"/>
        <w:gridCol w:w="2074"/>
        <w:gridCol w:w="12"/>
      </w:tblGrid>
      <w:tr>
        <w:trPr>
          <w:gridAfter w:val="1"/>
          <w:wAfter w:w="13" w:type="dxa"/>
        </w:trPr>
        <w:tc>
          <w:tcPr>
            <w:tcW w:w="950" w:type="dxa"/>
            <w:shd w:val="clear" w:color="auto" w:fill="auto"/>
          </w:tcPr>
          <w:p>
            <w:pPr>
              <w:suppressAutoHyphens/>
              <w:spacing w:after="0" w:line="240" w:lineRule="auto"/>
              <w:jc w:val="center"/>
              <w:rPr>
                <w:rFonts w:ascii="Times New Roman" w:eastAsia="Calibri" w:hAnsi="Times New Roman" w:cs="Times New Roman"/>
                <w:b/>
                <w:noProof/>
                <w:sz w:val="24"/>
                <w:szCs w:val="24"/>
                <w:lang w:val="bs-Latn-BA" w:eastAsia="zh-CN"/>
              </w:rPr>
            </w:pPr>
            <w:r>
              <w:rPr>
                <w:rFonts w:ascii="Times New Roman" w:eastAsia="Calibri" w:hAnsi="Times New Roman" w:cs="Times New Roman"/>
                <w:b/>
                <w:noProof/>
                <w:sz w:val="24"/>
                <w:szCs w:val="24"/>
                <w:lang w:val="bs-Latn-BA" w:eastAsia="zh-CN"/>
              </w:rPr>
              <w:t>Тарифни став услуге</w:t>
            </w:r>
          </w:p>
        </w:tc>
        <w:tc>
          <w:tcPr>
            <w:tcW w:w="3586" w:type="dxa"/>
            <w:shd w:val="clear" w:color="auto" w:fill="auto"/>
            <w:vAlign w:val="center"/>
          </w:tcPr>
          <w:p>
            <w:pPr>
              <w:suppressAutoHyphens/>
              <w:spacing w:after="0" w:line="240" w:lineRule="auto"/>
              <w:jc w:val="center"/>
              <w:rPr>
                <w:rFonts w:ascii="Times New Roman" w:eastAsia="Calibri" w:hAnsi="Times New Roman" w:cs="Times New Roman"/>
                <w:b/>
                <w:noProof/>
                <w:sz w:val="24"/>
                <w:szCs w:val="24"/>
                <w:lang w:val="sr-Cyrl-RS" w:eastAsia="zh-CN"/>
              </w:rPr>
            </w:pPr>
            <w:r>
              <w:rPr>
                <w:rFonts w:ascii="Times New Roman" w:eastAsia="Calibri" w:hAnsi="Times New Roman" w:cs="Times New Roman"/>
                <w:b/>
                <w:noProof/>
                <w:sz w:val="24"/>
                <w:szCs w:val="24"/>
                <w:lang w:val="sr-Cyrl-RS" w:eastAsia="zh-CN"/>
              </w:rPr>
              <w:t>Врста услуге</w:t>
            </w:r>
          </w:p>
        </w:tc>
        <w:tc>
          <w:tcPr>
            <w:tcW w:w="2547" w:type="dxa"/>
            <w:shd w:val="clear" w:color="auto" w:fill="auto"/>
            <w:vAlign w:val="center"/>
          </w:tcPr>
          <w:p>
            <w:pPr>
              <w:suppressAutoHyphens/>
              <w:spacing w:after="0" w:line="240" w:lineRule="auto"/>
              <w:jc w:val="center"/>
              <w:rPr>
                <w:rFonts w:ascii="Times New Roman" w:eastAsia="Calibri" w:hAnsi="Times New Roman" w:cs="Times New Roman"/>
                <w:b/>
                <w:noProof/>
                <w:sz w:val="24"/>
                <w:szCs w:val="24"/>
                <w:lang w:val="bs-Latn-BA" w:eastAsia="zh-CN"/>
              </w:rPr>
            </w:pPr>
            <w:r>
              <w:rPr>
                <w:rFonts w:ascii="Times New Roman" w:eastAsia="Calibri" w:hAnsi="Times New Roman" w:cs="Times New Roman"/>
                <w:b/>
                <w:noProof/>
                <w:sz w:val="24"/>
                <w:szCs w:val="24"/>
                <w:lang w:val="bs-Latn-BA" w:eastAsia="zh-CN"/>
              </w:rPr>
              <w:t>Висина (износ) накнаде</w:t>
            </w:r>
          </w:p>
        </w:tc>
        <w:tc>
          <w:tcPr>
            <w:tcW w:w="2101" w:type="dxa"/>
            <w:shd w:val="clear" w:color="auto" w:fill="auto"/>
          </w:tcPr>
          <w:p>
            <w:pPr>
              <w:suppressAutoHyphens/>
              <w:spacing w:after="0" w:line="240" w:lineRule="auto"/>
              <w:jc w:val="center"/>
              <w:rPr>
                <w:rFonts w:ascii="Times New Roman" w:eastAsia="Calibri" w:hAnsi="Times New Roman" w:cs="Times New Roman"/>
                <w:b/>
                <w:noProof/>
                <w:sz w:val="24"/>
                <w:szCs w:val="24"/>
                <w:lang w:val="bs-Latn-BA" w:eastAsia="zh-CN"/>
              </w:rPr>
            </w:pPr>
            <w:r>
              <w:rPr>
                <w:rFonts w:ascii="Times New Roman" w:eastAsia="Calibri" w:hAnsi="Times New Roman" w:cs="Times New Roman"/>
                <w:b/>
                <w:noProof/>
                <w:sz w:val="24"/>
                <w:szCs w:val="24"/>
                <w:lang w:val="bs-Latn-BA" w:eastAsia="zh-CN"/>
              </w:rPr>
              <w:t>Напомена: начин обрачуна, основица и друго</w:t>
            </w:r>
          </w:p>
        </w:tc>
      </w:tr>
      <w:tr>
        <w:tc>
          <w:tcPr>
            <w:tcW w:w="950" w:type="dxa"/>
            <w:shd w:val="clear" w:color="auto" w:fill="auto"/>
          </w:tcPr>
          <w:p>
            <w:pPr>
              <w:suppressAutoHyphens/>
              <w:spacing w:after="0" w:line="240" w:lineRule="auto"/>
              <w:jc w:val="center"/>
              <w:rPr>
                <w:rFonts w:ascii="Times New Roman" w:eastAsia="Calibri" w:hAnsi="Times New Roman" w:cs="Times New Roman"/>
                <w:noProof/>
                <w:sz w:val="24"/>
                <w:szCs w:val="24"/>
                <w:lang w:val="bs-Latn-BA" w:eastAsia="zh-CN"/>
              </w:rPr>
            </w:pPr>
            <w:r>
              <w:rPr>
                <w:rFonts w:ascii="Times New Roman" w:eastAsia="Calibri" w:hAnsi="Times New Roman" w:cs="Times New Roman"/>
                <w:noProof/>
                <w:sz w:val="24"/>
                <w:szCs w:val="24"/>
                <w:lang w:val="bs-Latn-BA" w:eastAsia="zh-CN"/>
              </w:rPr>
              <w:t>2.3.</w:t>
            </w:r>
          </w:p>
        </w:tc>
        <w:tc>
          <w:tcPr>
            <w:tcW w:w="8247" w:type="dxa"/>
            <w:gridSpan w:val="4"/>
            <w:shd w:val="clear" w:color="auto" w:fill="auto"/>
          </w:tcPr>
          <w:p>
            <w:pPr>
              <w:suppressAutoHyphens/>
              <w:spacing w:after="0" w:line="240" w:lineRule="auto"/>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Трансакције на рачуну резерв</w:t>
            </w:r>
            <w:r>
              <w:rPr>
                <w:rFonts w:ascii="Times New Roman" w:eastAsia="Calibri" w:hAnsi="Times New Roman" w:cs="Times New Roman"/>
                <w:noProof/>
                <w:lang w:val="bs-Cyrl-BA" w:eastAsia="zh-CN"/>
              </w:rPr>
              <w:t>и</w:t>
            </w:r>
            <w:r>
              <w:rPr>
                <w:rFonts w:ascii="Times New Roman" w:eastAsia="Calibri" w:hAnsi="Times New Roman" w:cs="Times New Roman"/>
                <w:noProof/>
                <w:lang w:val="bs-Latn-BA" w:eastAsia="zh-CN"/>
              </w:rPr>
              <w:t xml:space="preserve"> у EUR</w:t>
            </w:r>
          </w:p>
        </w:tc>
      </w:tr>
      <w:tr>
        <w:trPr>
          <w:gridAfter w:val="1"/>
          <w:wAfter w:w="13" w:type="dxa"/>
        </w:trPr>
        <w:tc>
          <w:tcPr>
            <w:tcW w:w="950" w:type="dxa"/>
            <w:shd w:val="clear" w:color="auto" w:fill="auto"/>
          </w:tcPr>
          <w:p>
            <w:pPr>
              <w:suppressAutoHyphens/>
              <w:spacing w:after="0" w:line="240" w:lineRule="auto"/>
              <w:jc w:val="center"/>
              <w:rPr>
                <w:rFonts w:ascii="Times New Roman" w:eastAsia="Calibri" w:hAnsi="Times New Roman" w:cs="Times New Roman"/>
                <w:noProof/>
                <w:sz w:val="24"/>
                <w:szCs w:val="24"/>
                <w:lang w:val="bs-Latn-BA" w:eastAsia="zh-CN"/>
              </w:rPr>
            </w:pPr>
            <w:r>
              <w:rPr>
                <w:rFonts w:ascii="Times New Roman" w:eastAsia="Calibri" w:hAnsi="Times New Roman" w:cs="Times New Roman"/>
                <w:noProof/>
                <w:sz w:val="24"/>
                <w:szCs w:val="24"/>
                <w:lang w:val="bs-Latn-BA" w:eastAsia="zh-CN"/>
              </w:rPr>
              <w:t>2.3.1.</w:t>
            </w:r>
          </w:p>
        </w:tc>
        <w:tc>
          <w:tcPr>
            <w:tcW w:w="3586"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Уплата и исплата преко рачуна у иностранству – рачун резерви у EUR</w:t>
            </w:r>
          </w:p>
        </w:tc>
        <w:tc>
          <w:tcPr>
            <w:tcW w:w="2547"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100,00 КМ за вриједност трансакције до 1.000.000,00 КМ – за сваку трансакцију; 1.000,00 КМ за вриједност трансакције преко 1.000.000,00 КМ – за сваку трансакцију</w:t>
            </w:r>
          </w:p>
        </w:tc>
        <w:tc>
          <w:tcPr>
            <w:tcW w:w="2101"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Накнада за оперативни трошак Централне банке за пружену услугу</w:t>
            </w:r>
          </w:p>
        </w:tc>
      </w:tr>
      <w:tr>
        <w:trPr>
          <w:gridAfter w:val="1"/>
          <w:wAfter w:w="13" w:type="dxa"/>
          <w:trHeight w:val="2611"/>
        </w:trPr>
        <w:tc>
          <w:tcPr>
            <w:tcW w:w="950" w:type="dxa"/>
            <w:shd w:val="clear" w:color="auto" w:fill="auto"/>
          </w:tcPr>
          <w:p>
            <w:pPr>
              <w:suppressAutoHyphens/>
              <w:spacing w:after="0" w:line="240" w:lineRule="auto"/>
              <w:jc w:val="center"/>
              <w:rPr>
                <w:rFonts w:ascii="Times New Roman" w:eastAsia="Calibri" w:hAnsi="Times New Roman" w:cs="Times New Roman"/>
                <w:noProof/>
                <w:sz w:val="24"/>
                <w:szCs w:val="24"/>
                <w:lang w:val="bs-Latn-BA" w:eastAsia="zh-CN"/>
              </w:rPr>
            </w:pPr>
            <w:r>
              <w:rPr>
                <w:rFonts w:ascii="Times New Roman" w:eastAsia="Calibri" w:hAnsi="Times New Roman" w:cs="Times New Roman"/>
                <w:noProof/>
                <w:sz w:val="24"/>
                <w:szCs w:val="24"/>
                <w:lang w:val="bs-Latn-BA" w:eastAsia="zh-CN"/>
              </w:rPr>
              <w:t>2.3.2.</w:t>
            </w:r>
          </w:p>
        </w:tc>
        <w:tc>
          <w:tcPr>
            <w:tcW w:w="3586"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Пренос средстава с рачуна резерви у КМ на рачун резерви у EUR и пренос средстава с рачуна резерви у EUR на рачун резерви у КМ (Интерна куповина/продаја КМ)</w:t>
            </w:r>
          </w:p>
        </w:tc>
        <w:tc>
          <w:tcPr>
            <w:tcW w:w="2547"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100,00 КМ за вриједност трансакције до 1.000.000,00 КМ – за сваку трансакцију; 1.000,00 КМ за вриједност трансакције преко 1.000.000,00 КМ – за сваку трансакцију</w:t>
            </w:r>
          </w:p>
        </w:tc>
        <w:tc>
          <w:tcPr>
            <w:tcW w:w="2101"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Накнада за оперативни трошак Централне банке за пружену услугу</w:t>
            </w:r>
          </w:p>
        </w:tc>
      </w:tr>
      <w:tr>
        <w:trPr>
          <w:gridAfter w:val="1"/>
          <w:wAfter w:w="13" w:type="dxa"/>
        </w:trPr>
        <w:tc>
          <w:tcPr>
            <w:tcW w:w="950" w:type="dxa"/>
            <w:shd w:val="clear" w:color="auto" w:fill="auto"/>
          </w:tcPr>
          <w:p>
            <w:pPr>
              <w:suppressAutoHyphens/>
              <w:spacing w:after="0" w:line="240" w:lineRule="auto"/>
              <w:jc w:val="center"/>
              <w:rPr>
                <w:rFonts w:ascii="Times New Roman" w:eastAsia="Calibri" w:hAnsi="Times New Roman" w:cs="Times New Roman"/>
                <w:noProof/>
                <w:sz w:val="24"/>
                <w:szCs w:val="24"/>
                <w:lang w:val="bs-Latn-BA" w:eastAsia="zh-CN"/>
              </w:rPr>
            </w:pPr>
            <w:r>
              <w:rPr>
                <w:rFonts w:ascii="Times New Roman" w:eastAsia="Calibri" w:hAnsi="Times New Roman" w:cs="Times New Roman"/>
                <w:noProof/>
                <w:sz w:val="24"/>
                <w:szCs w:val="24"/>
                <w:lang w:val="bs-Latn-BA" w:eastAsia="zh-CN"/>
              </w:rPr>
              <w:t>2.3.3.</w:t>
            </w:r>
          </w:p>
        </w:tc>
        <w:tc>
          <w:tcPr>
            <w:tcW w:w="3586"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Исплата преко рачуна у иностранству (Т+1) – рачун резерви у EUR</w:t>
            </w:r>
          </w:p>
        </w:tc>
        <w:tc>
          <w:tcPr>
            <w:tcW w:w="2547"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0,01 % од вриједности трансакције, минимално 100,00 КМ</w:t>
            </w:r>
          </w:p>
        </w:tc>
        <w:tc>
          <w:tcPr>
            <w:tcW w:w="2101"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Централна банка, у зависности од тренутне расположивости девизних резерви, плана инвестирања и раније преузетих обавеза, може одобрити или одбити овај захтјев</w:t>
            </w:r>
          </w:p>
        </w:tc>
      </w:tr>
      <w:tr>
        <w:trPr>
          <w:gridAfter w:val="1"/>
          <w:wAfter w:w="13" w:type="dxa"/>
        </w:trPr>
        <w:tc>
          <w:tcPr>
            <w:tcW w:w="950" w:type="dxa"/>
            <w:shd w:val="clear" w:color="auto" w:fill="auto"/>
          </w:tcPr>
          <w:p>
            <w:pPr>
              <w:suppressAutoHyphens/>
              <w:spacing w:after="0" w:line="240" w:lineRule="auto"/>
              <w:jc w:val="center"/>
              <w:rPr>
                <w:rFonts w:ascii="Times New Roman" w:eastAsia="Calibri" w:hAnsi="Times New Roman" w:cs="Times New Roman"/>
                <w:noProof/>
                <w:sz w:val="24"/>
                <w:szCs w:val="24"/>
                <w:lang w:val="bs-Latn-BA" w:eastAsia="zh-CN"/>
              </w:rPr>
            </w:pPr>
            <w:r>
              <w:rPr>
                <w:rFonts w:ascii="Times New Roman" w:eastAsia="Calibri" w:hAnsi="Times New Roman" w:cs="Times New Roman"/>
                <w:noProof/>
                <w:sz w:val="24"/>
                <w:szCs w:val="24"/>
                <w:lang w:val="bs-Latn-BA" w:eastAsia="zh-CN"/>
              </w:rPr>
              <w:lastRenderedPageBreak/>
              <w:t>2.3.4.</w:t>
            </w:r>
          </w:p>
        </w:tc>
        <w:tc>
          <w:tcPr>
            <w:tcW w:w="3586"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Исплата преко рачуна у иностранству (Т+</w:t>
            </w:r>
            <w:r>
              <w:rPr>
                <w:rFonts w:ascii="Times New Roman" w:eastAsia="Calibri" w:hAnsi="Times New Roman" w:cs="Times New Roman"/>
                <w:noProof/>
                <w:lang w:val="sr-Cyrl-RS" w:eastAsia="zh-CN"/>
              </w:rPr>
              <w:t>0</w:t>
            </w:r>
            <w:r>
              <w:rPr>
                <w:rFonts w:ascii="Times New Roman" w:eastAsia="Calibri" w:hAnsi="Times New Roman" w:cs="Times New Roman"/>
                <w:noProof/>
                <w:lang w:val="bs-Latn-BA" w:eastAsia="zh-CN"/>
              </w:rPr>
              <w:t>) – рачун резерви у EUR</w:t>
            </w:r>
          </w:p>
        </w:tc>
        <w:tc>
          <w:tcPr>
            <w:tcW w:w="2547"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0,2 % од вриједности трансакције, минимално 100,00 КМ</w:t>
            </w:r>
          </w:p>
        </w:tc>
        <w:tc>
          <w:tcPr>
            <w:tcW w:w="2101"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Централна банка, у зависности од тренутне расположивости девизних резерви, плана инвестирања и раније преузетих обавеза, може одобрити или одбити овај захтјев</w:t>
            </w:r>
          </w:p>
        </w:tc>
      </w:tr>
      <w:tr>
        <w:trPr>
          <w:gridAfter w:val="1"/>
          <w:wAfter w:w="13" w:type="dxa"/>
        </w:trPr>
        <w:tc>
          <w:tcPr>
            <w:tcW w:w="950" w:type="dxa"/>
            <w:shd w:val="clear" w:color="auto" w:fill="auto"/>
          </w:tcPr>
          <w:p>
            <w:pPr>
              <w:suppressAutoHyphens/>
              <w:spacing w:after="0" w:line="240" w:lineRule="auto"/>
              <w:jc w:val="center"/>
              <w:rPr>
                <w:rFonts w:ascii="Times New Roman" w:eastAsia="Calibri" w:hAnsi="Times New Roman" w:cs="Times New Roman"/>
                <w:noProof/>
                <w:sz w:val="24"/>
                <w:szCs w:val="24"/>
                <w:lang w:val="bs-Latn-BA" w:eastAsia="zh-CN"/>
              </w:rPr>
            </w:pPr>
            <w:r>
              <w:rPr>
                <w:rFonts w:ascii="Times New Roman" w:eastAsia="Calibri" w:hAnsi="Times New Roman" w:cs="Times New Roman"/>
                <w:noProof/>
                <w:sz w:val="24"/>
                <w:szCs w:val="24"/>
                <w:lang w:val="bs-Latn-BA" w:eastAsia="zh-CN"/>
              </w:rPr>
              <w:t>2.3.5.</w:t>
            </w:r>
          </w:p>
        </w:tc>
        <w:tc>
          <w:tcPr>
            <w:tcW w:w="3586"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Одустајање од уговорене трансакције - уплата преко рачуна у иностранству– рачун резерви у EUR</w:t>
            </w:r>
          </w:p>
        </w:tc>
        <w:tc>
          <w:tcPr>
            <w:tcW w:w="2547"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r>
              <w:rPr>
                <w:rFonts w:ascii="Times New Roman" w:eastAsia="Calibri" w:hAnsi="Times New Roman" w:cs="Times New Roman"/>
                <w:noProof/>
                <w:lang w:val="bs-Latn-BA" w:eastAsia="zh-CN"/>
              </w:rPr>
              <w:t>0,1 % од вриједности уговорене трансакције</w:t>
            </w:r>
          </w:p>
        </w:tc>
        <w:tc>
          <w:tcPr>
            <w:tcW w:w="2101" w:type="dxa"/>
            <w:shd w:val="clear" w:color="auto" w:fill="auto"/>
          </w:tcPr>
          <w:p>
            <w:pPr>
              <w:suppressAutoHyphens/>
              <w:spacing w:after="0" w:line="240" w:lineRule="auto"/>
              <w:jc w:val="both"/>
              <w:rPr>
                <w:rFonts w:ascii="Times New Roman" w:eastAsia="Calibri" w:hAnsi="Times New Roman" w:cs="Times New Roman"/>
                <w:noProof/>
                <w:lang w:val="bs-Latn-BA" w:eastAsia="zh-CN"/>
              </w:rPr>
            </w:pPr>
          </w:p>
        </w:tc>
      </w:tr>
    </w:tbl>
    <w:p>
      <w:pPr>
        <w:suppressAutoHyphens/>
        <w:spacing w:after="0" w:line="240" w:lineRule="auto"/>
        <w:rPr>
          <w:rFonts w:ascii="Times New Roman" w:eastAsia="Times New Roman" w:hAnsi="Times New Roman" w:cs="Times New Roman"/>
          <w:noProof/>
          <w:sz w:val="24"/>
          <w:szCs w:val="24"/>
          <w:lang w:val="bs-Latn-BA" w:eastAsia="zh-CN"/>
        </w:rPr>
      </w:pPr>
    </w:p>
    <w:p>
      <w:pPr>
        <w:suppressAutoHyphens/>
        <w:spacing w:after="0" w:line="240" w:lineRule="auto"/>
        <w:rPr>
          <w:rFonts w:ascii="Times New Roman" w:eastAsia="Times New Roman" w:hAnsi="Times New Roman" w:cs="Times New Roman"/>
          <w:noProof/>
          <w:sz w:val="24"/>
          <w:szCs w:val="24"/>
          <w:lang w:eastAsia="zh-CN"/>
        </w:rPr>
      </w:pPr>
      <w:r>
        <w:rPr>
          <w:rFonts w:ascii="Times New Roman" w:eastAsia="Times New Roman" w:hAnsi="Times New Roman" w:cs="Times New Roman"/>
          <w:noProof/>
          <w:sz w:val="24"/>
          <w:szCs w:val="24"/>
          <w:lang w:eastAsia="zh-CN"/>
        </w:rPr>
        <w:t>(2) Текстуални дио, испод табеле, под називом „Наплата накнаде за Тарифни број 2.“ мијења се и гласи:</w:t>
      </w:r>
    </w:p>
    <w:p>
      <w:pPr>
        <w:suppressAutoHyphens/>
        <w:spacing w:after="0" w:line="240" w:lineRule="auto"/>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w:t>
      </w:r>
      <w:r>
        <w:rPr>
          <w:rFonts w:ascii="Times New Roman" w:eastAsia="Times New Roman" w:hAnsi="Times New Roman" w:cs="Times New Roman"/>
          <w:b/>
          <w:noProof/>
          <w:sz w:val="24"/>
          <w:szCs w:val="24"/>
          <w:lang w:val="bs-Latn-BA" w:eastAsia="zh-CN"/>
        </w:rPr>
        <w:t>Наплата накнаде за Тарифни број 2.</w:t>
      </w:r>
    </w:p>
    <w:p>
      <w:pPr>
        <w:widowControl w:val="0"/>
        <w:suppressAutoHyphens/>
        <w:spacing w:after="0" w:line="240" w:lineRule="auto"/>
        <w:jc w:val="both"/>
        <w:rPr>
          <w:rFonts w:ascii="Times New Roman" w:eastAsia="Times New Roman" w:hAnsi="Times New Roman" w:cs="Times New Roman"/>
          <w:noProof/>
          <w:sz w:val="24"/>
          <w:szCs w:val="24"/>
          <w:lang w:eastAsia="zh-CN"/>
        </w:rPr>
      </w:pPr>
      <w:r>
        <w:rPr>
          <w:rFonts w:ascii="Times New Roman" w:eastAsia="Times New Roman" w:hAnsi="Times New Roman" w:cs="Times New Roman"/>
          <w:noProof/>
          <w:sz w:val="24"/>
          <w:szCs w:val="24"/>
          <w:lang w:eastAsia="zh-CN"/>
        </w:rPr>
        <w:t>(1) Наплата накнаде из тарифног става 2.1., 2.2. и 2.3. врши се на сљедећи начин:</w:t>
      </w:r>
    </w:p>
    <w:p>
      <w:pPr>
        <w:widowControl w:val="0"/>
        <w:suppressAutoHyphens/>
        <w:spacing w:after="0" w:line="240" w:lineRule="auto"/>
        <w:ind w:left="720" w:hanging="360"/>
        <w:contextualSpacing/>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val="sr-Cyrl-RS" w:eastAsia="hr-HR"/>
        </w:rPr>
        <w:t>а)</w:t>
      </w:r>
      <w:r>
        <w:rPr>
          <w:rFonts w:ascii="Times New Roman" w:eastAsia="Times New Roman" w:hAnsi="Times New Roman" w:cs="Times New Roman"/>
          <w:noProof/>
          <w:sz w:val="24"/>
          <w:szCs w:val="24"/>
          <w:lang w:val="sr-Cyrl-RS" w:eastAsia="hr-HR"/>
        </w:rPr>
        <w:tab/>
      </w:r>
      <w:r>
        <w:rPr>
          <w:rFonts w:ascii="Times New Roman" w:eastAsia="Times New Roman" w:hAnsi="Times New Roman" w:cs="Times New Roman"/>
          <w:noProof/>
          <w:sz w:val="24"/>
          <w:szCs w:val="24"/>
          <w:lang w:eastAsia="hr-HR"/>
        </w:rPr>
        <w:t>Наплата накнаде врши се на мјесечном нивоу, с датумом валуте десетог радног дана текућег мјесеца или првог наредног радног дана, уколико је десети дан у мјесецу нерадни дан. Накнада се наплаћује у КМ.</w:t>
      </w:r>
    </w:p>
    <w:p>
      <w:pPr>
        <w:widowControl w:val="0"/>
        <w:suppressAutoHyphens/>
        <w:spacing w:after="0" w:line="240" w:lineRule="auto"/>
        <w:ind w:left="720" w:hanging="360"/>
        <w:contextualSpacing/>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val="sr-Cyrl-RS" w:eastAsia="hr-HR"/>
        </w:rPr>
        <w:t>б)</w:t>
      </w:r>
      <w:r>
        <w:rPr>
          <w:rFonts w:ascii="Times New Roman" w:eastAsia="Times New Roman" w:hAnsi="Times New Roman" w:cs="Times New Roman"/>
          <w:noProof/>
          <w:sz w:val="24"/>
          <w:szCs w:val="24"/>
          <w:lang w:val="sr-Cyrl-RS" w:eastAsia="hr-HR"/>
        </w:rPr>
        <w:tab/>
      </w:r>
      <w:r>
        <w:rPr>
          <w:rFonts w:ascii="Times New Roman" w:eastAsia="Times New Roman" w:hAnsi="Times New Roman" w:cs="Times New Roman"/>
          <w:noProof/>
          <w:sz w:val="24"/>
          <w:szCs w:val="24"/>
          <w:lang w:eastAsia="hr-HR"/>
        </w:rPr>
        <w:t>Централна банка накнаду наплаћује задужењем рачуна резерви</w:t>
      </w:r>
      <w:r>
        <w:rPr>
          <w:rFonts w:ascii="Times New Roman" w:eastAsia="Times New Roman" w:hAnsi="Times New Roman" w:cs="Times New Roman"/>
          <w:noProof/>
          <w:sz w:val="24"/>
          <w:szCs w:val="24"/>
          <w:lang w:val="bs-Cyrl-BA" w:eastAsia="hr-HR"/>
        </w:rPr>
        <w:t xml:space="preserve"> у КМ</w:t>
      </w:r>
      <w:r>
        <w:rPr>
          <w:rFonts w:ascii="Times New Roman" w:eastAsia="Times New Roman" w:hAnsi="Times New Roman" w:cs="Times New Roman"/>
          <w:noProof/>
          <w:sz w:val="24"/>
          <w:szCs w:val="24"/>
          <w:lang w:eastAsia="hr-HR"/>
        </w:rPr>
        <w:t xml:space="preserve"> банке у корист рачуна Централне канцеларије Централне банке.</w:t>
      </w:r>
    </w:p>
    <w:p>
      <w:pPr>
        <w:widowControl w:val="0"/>
        <w:suppressAutoHyphens/>
        <w:spacing w:after="0" w:line="240" w:lineRule="auto"/>
        <w:ind w:left="720" w:hanging="360"/>
        <w:jc w:val="both"/>
        <w:rPr>
          <w:rFonts w:ascii="Times New Roman" w:eastAsia="Times New Roman" w:hAnsi="Times New Roman" w:cs="Times New Roman"/>
          <w:noProof/>
          <w:sz w:val="24"/>
          <w:szCs w:val="24"/>
          <w:lang w:eastAsia="zh-CN"/>
        </w:rPr>
      </w:pPr>
      <w:r>
        <w:rPr>
          <w:rFonts w:ascii="Times New Roman" w:eastAsia="Times New Roman" w:hAnsi="Times New Roman" w:cs="Times New Roman"/>
          <w:noProof/>
          <w:sz w:val="24"/>
          <w:szCs w:val="24"/>
          <w:lang w:val="sr-Cyrl-RS" w:eastAsia="zh-CN"/>
        </w:rPr>
        <w:t>ц)</w:t>
      </w:r>
      <w:r>
        <w:rPr>
          <w:rFonts w:ascii="Times New Roman" w:eastAsia="Times New Roman" w:hAnsi="Times New Roman" w:cs="Times New Roman"/>
          <w:noProof/>
          <w:sz w:val="24"/>
          <w:szCs w:val="24"/>
          <w:lang w:val="sr-Cyrl-RS" w:eastAsia="zh-CN"/>
        </w:rPr>
        <w:tab/>
      </w:r>
      <w:r>
        <w:rPr>
          <w:rFonts w:ascii="Times New Roman" w:eastAsia="Times New Roman" w:hAnsi="Times New Roman" w:cs="Times New Roman"/>
          <w:noProof/>
          <w:sz w:val="24"/>
          <w:szCs w:val="24"/>
          <w:lang w:eastAsia="zh-CN"/>
        </w:rPr>
        <w:t>Накнада из тарифног става 2.1.1. не искључује накнаде из тарифних ставова од 2.1.2. до 2.1.8. За услугу из тарифног става 2.1.3. основица за обрачун накнаде из тарифног става 2.1.1. је вриједност/износ куповине и продаје ефективног страног новца изражен у КМ</w:t>
      </w:r>
      <w:r>
        <w:rPr>
          <w:rFonts w:ascii="Times New Roman" w:eastAsia="Calibri" w:hAnsi="Times New Roman" w:cs="Times New Roman"/>
          <w:bCs/>
          <w:noProof/>
          <w:sz w:val="24"/>
          <w:szCs w:val="24"/>
          <w:lang w:eastAsia="zh-CN"/>
        </w:rPr>
        <w:t>.</w:t>
      </w:r>
    </w:p>
    <w:p>
      <w:pPr>
        <w:widowControl w:val="0"/>
        <w:suppressAutoHyphens/>
        <w:spacing w:after="0" w:line="240" w:lineRule="auto"/>
        <w:ind w:left="720" w:hanging="360"/>
        <w:jc w:val="both"/>
        <w:rPr>
          <w:rFonts w:ascii="Times New Roman" w:eastAsia="Times New Roman" w:hAnsi="Times New Roman" w:cs="Times New Roman"/>
          <w:noProof/>
          <w:sz w:val="24"/>
          <w:szCs w:val="24"/>
          <w:lang w:eastAsia="zh-CN"/>
        </w:rPr>
      </w:pPr>
      <w:r>
        <w:rPr>
          <w:rFonts w:ascii="Times New Roman" w:eastAsia="Times New Roman" w:hAnsi="Times New Roman" w:cs="Times New Roman"/>
          <w:noProof/>
          <w:sz w:val="24"/>
          <w:szCs w:val="24"/>
          <w:lang w:val="sr-Cyrl-RS" w:eastAsia="zh-CN"/>
        </w:rPr>
        <w:t>д)</w:t>
      </w:r>
      <w:r>
        <w:rPr>
          <w:rFonts w:ascii="Times New Roman" w:eastAsia="Times New Roman" w:hAnsi="Times New Roman" w:cs="Times New Roman"/>
          <w:noProof/>
          <w:sz w:val="24"/>
          <w:szCs w:val="24"/>
          <w:lang w:val="sr-Cyrl-RS" w:eastAsia="zh-CN"/>
        </w:rPr>
        <w:tab/>
      </w:r>
      <w:r>
        <w:rPr>
          <w:rFonts w:ascii="Times New Roman" w:eastAsia="Times New Roman" w:hAnsi="Times New Roman" w:cs="Times New Roman"/>
          <w:noProof/>
          <w:sz w:val="24"/>
          <w:szCs w:val="24"/>
          <w:lang w:val="bs-Latn-BA" w:eastAsia="zh-CN"/>
        </w:rPr>
        <w:t>Накнада из тарифног става 2.3.1. не искључује накнаде из тарифних ставова 2.3.3.</w:t>
      </w:r>
      <w:r>
        <w:rPr>
          <w:rFonts w:ascii="Times New Roman" w:eastAsia="Times New Roman" w:hAnsi="Times New Roman" w:cs="Times New Roman"/>
          <w:noProof/>
          <w:sz w:val="24"/>
          <w:szCs w:val="24"/>
          <w:lang w:val="sr-Cyrl-RS" w:eastAsia="zh-CN"/>
        </w:rPr>
        <w:t xml:space="preserve"> </w:t>
      </w:r>
      <w:r>
        <w:rPr>
          <w:rFonts w:ascii="Times New Roman" w:eastAsia="Times New Roman" w:hAnsi="Times New Roman" w:cs="Times New Roman"/>
          <w:noProof/>
          <w:sz w:val="24"/>
          <w:szCs w:val="24"/>
          <w:lang w:val="bs-Latn-BA" w:eastAsia="zh-CN"/>
        </w:rPr>
        <w:t>- 2.3.5.</w:t>
      </w:r>
    </w:p>
    <w:p>
      <w:pPr>
        <w:tabs>
          <w:tab w:val="left" w:pos="851"/>
        </w:tabs>
        <w:suppressAutoHyphens/>
        <w:spacing w:after="0" w:line="240" w:lineRule="auto"/>
        <w:jc w:val="both"/>
        <w:rPr>
          <w:rFonts w:ascii="Times New Roman" w:eastAsia="Times New Roman" w:hAnsi="Times New Roman" w:cs="Times New Roman"/>
          <w:noProof/>
          <w:sz w:val="24"/>
          <w:szCs w:val="24"/>
          <w:lang w:val="bs-Latn-BA" w:eastAsia="zh-CN"/>
        </w:rPr>
      </w:pPr>
      <w:r>
        <w:rPr>
          <w:rFonts w:ascii="Times New Roman" w:eastAsia="Calibri" w:hAnsi="Times New Roman" w:cs="Times New Roman"/>
          <w:noProof/>
          <w:sz w:val="24"/>
          <w:szCs w:val="24"/>
          <w:lang w:val="bs-Latn-BA" w:eastAsia="zh-CN"/>
        </w:rPr>
        <w:t>(2) Основицу за обрачун накнада за услуге из тарифног става 2.3. представља вриједност/износ уплате и исплате изражене у КМ.“.</w:t>
      </w:r>
    </w:p>
    <w:p>
      <w:pPr>
        <w:widowControl w:val="0"/>
        <w:suppressAutoHyphens/>
        <w:spacing w:after="0" w:line="240" w:lineRule="auto"/>
        <w:rPr>
          <w:rFonts w:ascii="Times New Roman" w:eastAsia="Times New Roman" w:hAnsi="Times New Roman" w:cs="Times New Roman"/>
          <w:noProof/>
          <w:sz w:val="24"/>
          <w:szCs w:val="24"/>
          <w:lang w:val="bs-Latn-BA" w:eastAsia="zh-CN"/>
        </w:rPr>
      </w:pPr>
    </w:p>
    <w:p>
      <w:pPr>
        <w:widowControl w:val="0"/>
        <w:suppressAutoHyphens/>
        <w:spacing w:after="0" w:line="240" w:lineRule="auto"/>
        <w:rPr>
          <w:rFonts w:ascii="Times New Roman" w:eastAsia="Times New Roman" w:hAnsi="Times New Roman" w:cs="Times New Roman"/>
          <w:noProof/>
          <w:sz w:val="24"/>
          <w:szCs w:val="24"/>
          <w:lang w:val="bs-Latn-BA" w:eastAsia="zh-CN"/>
        </w:rPr>
      </w:pPr>
    </w:p>
    <w:p>
      <w:pPr>
        <w:widowControl w:val="0"/>
        <w:suppressAutoHyphens/>
        <w:spacing w:after="0" w:line="240" w:lineRule="auto"/>
        <w:jc w:val="center"/>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Члан 2.</w:t>
      </w:r>
    </w:p>
    <w:p>
      <w:pPr>
        <w:widowControl w:val="0"/>
        <w:suppressAutoHyphens/>
        <w:spacing w:after="0" w:line="240" w:lineRule="auto"/>
        <w:jc w:val="center"/>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(Ступање на снагу и почетак примјене)</w:t>
      </w:r>
    </w:p>
    <w:p>
      <w:pPr>
        <w:widowControl w:val="0"/>
        <w:suppressAutoHyphens/>
        <w:spacing w:after="0" w:line="240" w:lineRule="auto"/>
        <w:jc w:val="both"/>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(1) Ова одлука ступа на снагу осмог дана од дана објављивања у „Службеном гласнику БиХ“, а примјењиваће се од 01.01.2024. године.</w:t>
      </w:r>
    </w:p>
    <w:p>
      <w:pPr>
        <w:widowControl w:val="0"/>
        <w:suppressAutoHyphens/>
        <w:spacing w:after="0" w:line="240" w:lineRule="auto"/>
        <w:jc w:val="both"/>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(2) Ова одлука ће се објавити и у „Службеним новинама Федерације БиХ“, „Службеном гласнику Републике Српске“ и „Службеном гласнику Брчко дистрикта БиХ“.</w:t>
      </w:r>
    </w:p>
    <w:p>
      <w:pPr>
        <w:widowControl w:val="0"/>
        <w:suppressAutoHyphens/>
        <w:spacing w:after="0" w:line="240" w:lineRule="auto"/>
        <w:rPr>
          <w:rFonts w:ascii="Times New Roman" w:eastAsia="Times New Roman" w:hAnsi="Times New Roman" w:cs="Times New Roman"/>
          <w:noProof/>
          <w:sz w:val="24"/>
          <w:szCs w:val="24"/>
          <w:lang w:val="bs-Latn-BA" w:eastAsia="zh-CN"/>
        </w:rPr>
      </w:pPr>
    </w:p>
    <w:p>
      <w:pPr>
        <w:widowControl w:val="0"/>
        <w:suppressAutoHyphens/>
        <w:spacing w:after="0" w:line="240" w:lineRule="auto"/>
        <w:rPr>
          <w:rFonts w:ascii="Times New Roman" w:eastAsia="Times New Roman" w:hAnsi="Times New Roman" w:cs="Times New Roman"/>
          <w:noProof/>
          <w:sz w:val="24"/>
          <w:szCs w:val="24"/>
          <w:lang w:val="bs-Latn-BA" w:eastAsia="zh-CN"/>
        </w:rPr>
      </w:pPr>
    </w:p>
    <w:p>
      <w:pPr>
        <w:widowControl w:val="0"/>
        <w:suppressAutoHyphens/>
        <w:spacing w:after="0" w:line="240" w:lineRule="auto"/>
        <w:rPr>
          <w:rFonts w:ascii="Times New Roman" w:eastAsia="Times New Roman" w:hAnsi="Times New Roman" w:cs="Times New Roman"/>
          <w:noProof/>
          <w:sz w:val="24"/>
          <w:szCs w:val="24"/>
          <w:lang w:val="bs-Latn-BA" w:eastAsia="zh-CN"/>
        </w:rPr>
      </w:pPr>
    </w:p>
    <w:p>
      <w:pPr>
        <w:widowControl w:val="0"/>
        <w:tabs>
          <w:tab w:val="center" w:pos="6804"/>
        </w:tabs>
        <w:suppressAutoHyphens/>
        <w:spacing w:after="0" w:line="240" w:lineRule="auto"/>
        <w:jc w:val="both"/>
        <w:rPr>
          <w:rFonts w:ascii="Times New Roman" w:eastAsia="Times New Roman" w:hAnsi="Times New Roman" w:cs="Times New Roman"/>
          <w:b/>
          <w:noProof/>
          <w:sz w:val="24"/>
          <w:szCs w:val="24"/>
          <w:lang w:val="bs-Latn-BA" w:eastAsia="zh-CN"/>
        </w:rPr>
      </w:pPr>
      <w:r>
        <w:rPr>
          <w:rFonts w:ascii="Times New Roman" w:eastAsia="Times New Roman" w:hAnsi="Times New Roman" w:cs="Times New Roman"/>
          <w:noProof/>
          <w:sz w:val="24"/>
          <w:szCs w:val="24"/>
          <w:lang w:val="bs-Latn-BA" w:eastAsia="zh-CN"/>
        </w:rPr>
        <w:tab/>
      </w:r>
      <w:r>
        <w:rPr>
          <w:rFonts w:ascii="Times New Roman" w:eastAsia="Times New Roman" w:hAnsi="Times New Roman" w:cs="Times New Roman"/>
          <w:b/>
          <w:noProof/>
          <w:sz w:val="24"/>
          <w:szCs w:val="24"/>
          <w:lang w:val="bs-Latn-BA" w:eastAsia="zh-CN"/>
        </w:rPr>
        <w:t>Предсједавајући</w:t>
      </w:r>
    </w:p>
    <w:p>
      <w:pPr>
        <w:widowControl w:val="0"/>
        <w:tabs>
          <w:tab w:val="center" w:pos="6804"/>
        </w:tabs>
        <w:suppressAutoHyphens/>
        <w:spacing w:after="0" w:line="240" w:lineRule="auto"/>
        <w:jc w:val="both"/>
        <w:rPr>
          <w:rFonts w:ascii="Times New Roman" w:eastAsia="Times New Roman" w:hAnsi="Times New Roman" w:cs="Times New Roman"/>
          <w:b/>
          <w:noProof/>
          <w:sz w:val="24"/>
          <w:szCs w:val="24"/>
          <w:lang w:val="bs-Latn-BA" w:eastAsia="zh-CN"/>
        </w:rPr>
      </w:pPr>
      <w:r>
        <w:rPr>
          <w:rFonts w:ascii="Times New Roman" w:eastAsia="Times New Roman" w:hAnsi="Times New Roman" w:cs="Times New Roman"/>
          <w:noProof/>
          <w:sz w:val="24"/>
          <w:szCs w:val="24"/>
          <w:lang w:val="bs-Latn-BA" w:eastAsia="zh-CN"/>
        </w:rPr>
        <w:tab/>
      </w:r>
      <w:r>
        <w:rPr>
          <w:rFonts w:ascii="Times New Roman" w:eastAsia="Times New Roman" w:hAnsi="Times New Roman" w:cs="Times New Roman"/>
          <w:b/>
          <w:noProof/>
          <w:sz w:val="24"/>
          <w:szCs w:val="24"/>
          <w:lang w:val="bs-Latn-BA" w:eastAsia="zh-CN"/>
        </w:rPr>
        <w:t>Управног одбора Централне банке</w:t>
      </w:r>
    </w:p>
    <w:p>
      <w:pPr>
        <w:widowControl w:val="0"/>
        <w:tabs>
          <w:tab w:val="center" w:pos="6804"/>
        </w:tabs>
        <w:suppressAutoHyphens/>
        <w:spacing w:after="0" w:line="240" w:lineRule="auto"/>
        <w:jc w:val="both"/>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Број: УВ</w:t>
      </w:r>
      <w:bookmarkStart w:id="0" w:name="_GoBack"/>
      <w:bookmarkEnd w:id="0"/>
      <w:r>
        <w:rPr>
          <w:rFonts w:ascii="Times New Roman" w:eastAsia="Times New Roman" w:hAnsi="Times New Roman" w:cs="Times New Roman"/>
          <w:noProof/>
          <w:sz w:val="24"/>
          <w:szCs w:val="24"/>
          <w:lang w:val="bs-Latn-BA" w:eastAsia="zh-CN"/>
        </w:rPr>
        <w:t>-122-02-1-1499-6/23</w:t>
      </w:r>
      <w:r>
        <w:rPr>
          <w:rFonts w:ascii="Times New Roman" w:eastAsia="Times New Roman" w:hAnsi="Times New Roman" w:cs="Times New Roman"/>
          <w:noProof/>
          <w:sz w:val="24"/>
          <w:szCs w:val="24"/>
          <w:lang w:val="bs-Latn-BA" w:eastAsia="zh-CN"/>
        </w:rPr>
        <w:tab/>
      </w:r>
      <w:r>
        <w:rPr>
          <w:rFonts w:ascii="Times New Roman" w:eastAsia="Times New Roman" w:hAnsi="Times New Roman" w:cs="Times New Roman"/>
          <w:b/>
          <w:noProof/>
          <w:sz w:val="24"/>
          <w:szCs w:val="24"/>
          <w:lang w:val="bs-Latn-BA" w:eastAsia="zh-CN"/>
        </w:rPr>
        <w:t>Босне и Херцеговине</w:t>
      </w:r>
    </w:p>
    <w:p>
      <w:pPr>
        <w:widowControl w:val="0"/>
        <w:tabs>
          <w:tab w:val="center" w:pos="6804"/>
        </w:tabs>
        <w:suppressAutoHyphens/>
        <w:spacing w:after="0" w:line="240" w:lineRule="auto"/>
        <w:jc w:val="both"/>
        <w:rPr>
          <w:rFonts w:ascii="Times New Roman" w:eastAsia="Times New Roman" w:hAnsi="Times New Roman" w:cs="Times New Roman"/>
          <w:noProof/>
          <w:sz w:val="24"/>
          <w:szCs w:val="24"/>
          <w:lang w:val="sr-Cyrl-RS" w:eastAsia="zh-CN"/>
        </w:rPr>
      </w:pPr>
      <w:r>
        <w:rPr>
          <w:rFonts w:ascii="Times New Roman" w:eastAsia="Times New Roman" w:hAnsi="Times New Roman" w:cs="Times New Roman"/>
          <w:noProof/>
          <w:sz w:val="24"/>
          <w:szCs w:val="24"/>
          <w:lang w:val="sr-Cyrl-RS" w:eastAsia="zh-CN"/>
        </w:rPr>
        <w:t>Сарајево</w:t>
      </w:r>
      <w:r>
        <w:rPr>
          <w:rFonts w:ascii="Times New Roman" w:eastAsia="Times New Roman" w:hAnsi="Times New Roman" w:cs="Times New Roman"/>
          <w:noProof/>
          <w:sz w:val="24"/>
          <w:szCs w:val="24"/>
          <w:lang w:val="bs-Latn-BA" w:eastAsia="zh-CN"/>
        </w:rPr>
        <w:t xml:space="preserve">, 29.08.2023. </w:t>
      </w:r>
      <w:r>
        <w:rPr>
          <w:rFonts w:ascii="Times New Roman" w:eastAsia="Times New Roman" w:hAnsi="Times New Roman" w:cs="Times New Roman"/>
          <w:noProof/>
          <w:sz w:val="24"/>
          <w:szCs w:val="24"/>
          <w:lang w:val="sr-Cyrl-RS" w:eastAsia="zh-CN"/>
        </w:rPr>
        <w:t>године</w:t>
      </w:r>
    </w:p>
    <w:p>
      <w:pPr>
        <w:widowControl w:val="0"/>
        <w:tabs>
          <w:tab w:val="center" w:pos="6804"/>
        </w:tabs>
        <w:suppressAutoHyphens/>
        <w:spacing w:after="0" w:line="240" w:lineRule="auto"/>
        <w:jc w:val="both"/>
        <w:rPr>
          <w:rFonts w:ascii="Times New Roman" w:eastAsia="Times New Roman" w:hAnsi="Times New Roman" w:cs="Times New Roman"/>
          <w:b/>
          <w:noProof/>
          <w:sz w:val="24"/>
          <w:szCs w:val="24"/>
          <w:lang w:val="sr-Cyrl-RS" w:eastAsia="zh-CN"/>
        </w:rPr>
      </w:pPr>
      <w:r>
        <w:rPr>
          <w:rFonts w:ascii="Times New Roman" w:eastAsia="Times New Roman" w:hAnsi="Times New Roman" w:cs="Times New Roman"/>
          <w:noProof/>
          <w:sz w:val="24"/>
          <w:szCs w:val="24"/>
          <w:lang w:val="bs-Latn-BA" w:eastAsia="zh-CN"/>
        </w:rPr>
        <w:tab/>
      </w:r>
      <w:r>
        <w:rPr>
          <w:rFonts w:ascii="Times New Roman" w:eastAsia="Times New Roman" w:hAnsi="Times New Roman" w:cs="Times New Roman"/>
          <w:b/>
          <w:noProof/>
          <w:sz w:val="24"/>
          <w:szCs w:val="24"/>
          <w:lang w:val="sr-Cyrl-RS" w:eastAsia="zh-CN"/>
        </w:rPr>
        <w:t>ГУВЕРНЕР</w:t>
      </w:r>
    </w:p>
    <w:p>
      <w:pPr>
        <w:widowControl w:val="0"/>
        <w:tabs>
          <w:tab w:val="center" w:pos="6804"/>
        </w:tabs>
        <w:suppressAutoHyphens/>
        <w:spacing w:after="0" w:line="240" w:lineRule="auto"/>
        <w:jc w:val="both"/>
        <w:rPr>
          <w:rFonts w:ascii="Times New Roman" w:eastAsia="Times New Roman" w:hAnsi="Times New Roman" w:cs="Times New Roman"/>
          <w:b/>
          <w:noProof/>
          <w:sz w:val="24"/>
          <w:szCs w:val="24"/>
          <w:lang w:val="sr-Cyrl-RS" w:eastAsia="zh-CN"/>
        </w:rPr>
      </w:pPr>
      <w:r>
        <w:rPr>
          <w:rFonts w:ascii="Times New Roman" w:eastAsia="Times New Roman" w:hAnsi="Times New Roman" w:cs="Times New Roman"/>
          <w:noProof/>
          <w:sz w:val="24"/>
          <w:szCs w:val="24"/>
          <w:lang w:val="bs-Latn-BA" w:eastAsia="zh-CN"/>
        </w:rPr>
        <w:tab/>
      </w:r>
      <w:r>
        <w:rPr>
          <w:rFonts w:ascii="Times New Roman" w:eastAsia="Times New Roman" w:hAnsi="Times New Roman" w:cs="Times New Roman"/>
          <w:b/>
          <w:noProof/>
          <w:sz w:val="24"/>
          <w:szCs w:val="24"/>
          <w:lang w:val="sr-Cyrl-RS" w:eastAsia="zh-CN"/>
        </w:rPr>
        <w:t>Др Сенад Софтић</w:t>
      </w:r>
    </w:p>
    <w:sectPr>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973085"/>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012F3"/>
    <w:multiLevelType w:val="hybridMultilevel"/>
    <w:tmpl w:val="D8D04C5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C1A43"/>
    <w:multiLevelType w:val="hybridMultilevel"/>
    <w:tmpl w:val="5936FD74"/>
    <w:lvl w:ilvl="0" w:tplc="E19800B4">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358320D8"/>
    <w:multiLevelType w:val="hybridMultilevel"/>
    <w:tmpl w:val="46CEA9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EAD3961"/>
    <w:multiLevelType w:val="hybridMultilevel"/>
    <w:tmpl w:val="65502F96"/>
    <w:lvl w:ilvl="0" w:tplc="6052B8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925A5"/>
    <w:multiLevelType w:val="hybridMultilevel"/>
    <w:tmpl w:val="C92661B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4F443283"/>
    <w:multiLevelType w:val="hybridMultilevel"/>
    <w:tmpl w:val="2E7E101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50FD36E7"/>
    <w:multiLevelType w:val="hybridMultilevel"/>
    <w:tmpl w:val="91643C10"/>
    <w:lvl w:ilvl="0" w:tplc="8716C952">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87EEC"/>
    <w:multiLevelType w:val="hybridMultilevel"/>
    <w:tmpl w:val="33C68480"/>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87372"/>
    <w:multiLevelType w:val="hybridMultilevel"/>
    <w:tmpl w:val="3D74119A"/>
    <w:lvl w:ilvl="0" w:tplc="691A79CE">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F1C6639"/>
    <w:multiLevelType w:val="hybridMultilevel"/>
    <w:tmpl w:val="B6A2F110"/>
    <w:lvl w:ilvl="0" w:tplc="E19800B4">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0234F61"/>
    <w:multiLevelType w:val="hybridMultilevel"/>
    <w:tmpl w:val="05A49F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6"/>
  </w:num>
  <w:num w:numId="5">
    <w:abstractNumId w:val="2"/>
  </w:num>
  <w:num w:numId="6">
    <w:abstractNumId w:val="1"/>
  </w:num>
  <w:num w:numId="7">
    <w:abstractNumId w:val="5"/>
  </w:num>
  <w:num w:numId="8">
    <w:abstractNumId w:val="4"/>
  </w:num>
  <w:num w:numId="9">
    <w:abstractNumId w:val="9"/>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1FB6-C6D9-4306-B537-F2FDE2B9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B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cs="Times New Roman"/>
      <w:b/>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Times New Roman"/>
      <w:b/>
      <w:sz w:val="24"/>
      <w:szCs w:val="24"/>
      <w:lang w:val="hr-HR"/>
    </w:rPr>
  </w:style>
  <w:style w:type="paragraph" w:styleId="NoSpacing">
    <w:name w:val="No Spacing"/>
    <w:uiPriority w:val="99"/>
    <w:qFormat/>
    <w:pPr>
      <w:spacing w:after="0" w:line="240" w:lineRule="auto"/>
    </w:pPr>
    <w:rPr>
      <w:rFonts w:ascii="Calibri" w:eastAsia="Calibri" w:hAnsi="Calibri" w:cs="Times New Roman"/>
      <w:lang w:val="sr-Latn-BA"/>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Pr>
      <w:rFonts w:ascii="Times New Roman" w:eastAsia="Times New Roman" w:hAnsi="Times New Roman" w:cs="Times New Roman"/>
      <w:b/>
      <w:sz w:val="28"/>
      <w:szCs w:val="20"/>
    </w:rPr>
  </w:style>
  <w:style w:type="paragraph" w:styleId="ListParagraph">
    <w:name w:val="List Paragraph"/>
    <w:basedOn w:val="Normal"/>
    <w:uiPriority w:val="34"/>
    <w:qFormat/>
    <w:pPr>
      <w:ind w:left="720"/>
      <w:contextualSpacing/>
    </w:pPr>
    <w:rPr>
      <w:lang w:val="bs-Latn-B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r-Latn-BA"/>
    </w:rPr>
  </w:style>
  <w:style w:type="character" w:customStyle="1" w:styleId="BodyTextChar">
    <w:name w:val="Body Text Char"/>
    <w:basedOn w:val="DefaultParagraphFont"/>
    <w:link w:val="BodyText"/>
    <w:rPr>
      <w:rFonts w:ascii="Times New Roman" w:eastAsia="Times New Roman" w:hAnsi="Times New Roman" w:cs="Times New Roman"/>
      <w:color w:val="2D2D31"/>
    </w:rPr>
  </w:style>
  <w:style w:type="paragraph" w:styleId="BodyText">
    <w:name w:val="Body Text"/>
    <w:basedOn w:val="Normal"/>
    <w:link w:val="BodyTextChar"/>
    <w:pPr>
      <w:widowControl w:val="0"/>
      <w:spacing w:after="0" w:line="264" w:lineRule="auto"/>
      <w:ind w:firstLine="400"/>
    </w:pPr>
    <w:rPr>
      <w:rFonts w:ascii="Times New Roman" w:eastAsia="Times New Roman" w:hAnsi="Times New Roman" w:cs="Times New Roman"/>
      <w:color w:val="2D2D31"/>
      <w:lang w:val="en-US"/>
    </w:rPr>
  </w:style>
  <w:style w:type="character" w:customStyle="1" w:styleId="BodyTextChar1">
    <w:name w:val="Body Text Char1"/>
    <w:basedOn w:val="DefaultParagraphFont"/>
    <w:uiPriority w:val="99"/>
    <w:semiHidden/>
    <w:rPr>
      <w:lang w:val="sr-Latn-BA"/>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sr-Latn-BA"/>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sr-Latn-BA"/>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sr-Latn-BA"/>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3134">
      <w:bodyDiv w:val="1"/>
      <w:marLeft w:val="0"/>
      <w:marRight w:val="0"/>
      <w:marTop w:val="0"/>
      <w:marBottom w:val="0"/>
      <w:divBdr>
        <w:top w:val="none" w:sz="0" w:space="0" w:color="auto"/>
        <w:left w:val="none" w:sz="0" w:space="0" w:color="auto"/>
        <w:bottom w:val="none" w:sz="0" w:space="0" w:color="auto"/>
        <w:right w:val="none" w:sz="0" w:space="0" w:color="auto"/>
      </w:divBdr>
    </w:div>
    <w:div w:id="396703873">
      <w:bodyDiv w:val="1"/>
      <w:marLeft w:val="0"/>
      <w:marRight w:val="0"/>
      <w:marTop w:val="0"/>
      <w:marBottom w:val="0"/>
      <w:divBdr>
        <w:top w:val="none" w:sz="0" w:space="0" w:color="auto"/>
        <w:left w:val="none" w:sz="0" w:space="0" w:color="auto"/>
        <w:bottom w:val="none" w:sz="0" w:space="0" w:color="auto"/>
        <w:right w:val="none" w:sz="0" w:space="0" w:color="auto"/>
      </w:divBdr>
    </w:div>
    <w:div w:id="542670819">
      <w:bodyDiv w:val="1"/>
      <w:marLeft w:val="0"/>
      <w:marRight w:val="0"/>
      <w:marTop w:val="0"/>
      <w:marBottom w:val="0"/>
      <w:divBdr>
        <w:top w:val="none" w:sz="0" w:space="0" w:color="auto"/>
        <w:left w:val="none" w:sz="0" w:space="0" w:color="auto"/>
        <w:bottom w:val="none" w:sz="0" w:space="0" w:color="auto"/>
        <w:right w:val="none" w:sz="0" w:space="0" w:color="auto"/>
      </w:divBdr>
    </w:div>
    <w:div w:id="560098901">
      <w:bodyDiv w:val="1"/>
      <w:marLeft w:val="0"/>
      <w:marRight w:val="0"/>
      <w:marTop w:val="0"/>
      <w:marBottom w:val="0"/>
      <w:divBdr>
        <w:top w:val="none" w:sz="0" w:space="0" w:color="auto"/>
        <w:left w:val="none" w:sz="0" w:space="0" w:color="auto"/>
        <w:bottom w:val="none" w:sz="0" w:space="0" w:color="auto"/>
        <w:right w:val="none" w:sz="0" w:space="0" w:color="auto"/>
      </w:divBdr>
    </w:div>
    <w:div w:id="771051883">
      <w:bodyDiv w:val="1"/>
      <w:marLeft w:val="0"/>
      <w:marRight w:val="0"/>
      <w:marTop w:val="0"/>
      <w:marBottom w:val="0"/>
      <w:divBdr>
        <w:top w:val="none" w:sz="0" w:space="0" w:color="auto"/>
        <w:left w:val="none" w:sz="0" w:space="0" w:color="auto"/>
        <w:bottom w:val="none" w:sz="0" w:space="0" w:color="auto"/>
        <w:right w:val="none" w:sz="0" w:space="0" w:color="auto"/>
      </w:divBdr>
    </w:div>
    <w:div w:id="934826615">
      <w:bodyDiv w:val="1"/>
      <w:marLeft w:val="0"/>
      <w:marRight w:val="0"/>
      <w:marTop w:val="0"/>
      <w:marBottom w:val="0"/>
      <w:divBdr>
        <w:top w:val="none" w:sz="0" w:space="0" w:color="auto"/>
        <w:left w:val="none" w:sz="0" w:space="0" w:color="auto"/>
        <w:bottom w:val="none" w:sz="0" w:space="0" w:color="auto"/>
        <w:right w:val="none" w:sz="0" w:space="0" w:color="auto"/>
      </w:divBdr>
    </w:div>
    <w:div w:id="1019544341">
      <w:bodyDiv w:val="1"/>
      <w:marLeft w:val="0"/>
      <w:marRight w:val="0"/>
      <w:marTop w:val="0"/>
      <w:marBottom w:val="0"/>
      <w:divBdr>
        <w:top w:val="none" w:sz="0" w:space="0" w:color="auto"/>
        <w:left w:val="none" w:sz="0" w:space="0" w:color="auto"/>
        <w:bottom w:val="none" w:sz="0" w:space="0" w:color="auto"/>
        <w:right w:val="none" w:sz="0" w:space="0" w:color="auto"/>
      </w:divBdr>
    </w:div>
    <w:div w:id="1726025685">
      <w:bodyDiv w:val="1"/>
      <w:marLeft w:val="0"/>
      <w:marRight w:val="0"/>
      <w:marTop w:val="0"/>
      <w:marBottom w:val="0"/>
      <w:divBdr>
        <w:top w:val="none" w:sz="0" w:space="0" w:color="auto"/>
        <w:left w:val="none" w:sz="0" w:space="0" w:color="auto"/>
        <w:bottom w:val="none" w:sz="0" w:space="0" w:color="auto"/>
        <w:right w:val="none" w:sz="0" w:space="0" w:color="auto"/>
      </w:divBdr>
    </w:div>
    <w:div w:id="1892879573">
      <w:bodyDiv w:val="1"/>
      <w:marLeft w:val="0"/>
      <w:marRight w:val="0"/>
      <w:marTop w:val="0"/>
      <w:marBottom w:val="0"/>
      <w:divBdr>
        <w:top w:val="none" w:sz="0" w:space="0" w:color="auto"/>
        <w:left w:val="none" w:sz="0" w:space="0" w:color="auto"/>
        <w:bottom w:val="none" w:sz="0" w:space="0" w:color="auto"/>
        <w:right w:val="none" w:sz="0" w:space="0" w:color="auto"/>
      </w:divBdr>
    </w:div>
    <w:div w:id="20191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569</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Nedjo Gutalj</dc:creator>
  <cp:keywords/>
  <dc:description/>
  <cp:lastModifiedBy>Damir Soco</cp:lastModifiedBy>
  <cp:revision>31</cp:revision>
  <cp:lastPrinted>2023-08-29T12:56:00Z</cp:lastPrinted>
  <dcterms:created xsi:type="dcterms:W3CDTF">2022-12-08T09:27:00Z</dcterms:created>
  <dcterms:modified xsi:type="dcterms:W3CDTF">2023-08-31T13:56:00Z</dcterms:modified>
</cp:coreProperties>
</file>