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4C47D178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</w:t>
      </w:r>
      <w:r w:rsidR="009733FB">
        <w:rPr>
          <w:rFonts w:ascii="Times New Roman" w:hAnsi="Times New Roman"/>
          <w:b/>
          <w:sz w:val="24"/>
          <w:lang w:val="hr-HR"/>
        </w:rPr>
        <w:t>ne</w:t>
      </w:r>
      <w:r w:rsidRPr="00DE3654">
        <w:rPr>
          <w:rFonts w:ascii="Times New Roman" w:hAnsi="Times New Roman"/>
          <w:b/>
          <w:sz w:val="24"/>
          <w:lang w:val="hr-HR"/>
        </w:rPr>
        <w:t xml:space="preserve">određeno vrijeme </w:t>
      </w:r>
    </w:p>
    <w:p w14:paraId="506C8A22" w14:textId="77777777" w:rsidR="00805A8C" w:rsidRPr="00DE3654" w:rsidRDefault="00805A8C" w:rsidP="009733FB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</w:p>
    <w:p w14:paraId="7F0C9475" w14:textId="33610DAF" w:rsidR="00C20A4A" w:rsidRPr="00DE3654" w:rsidRDefault="00953EA4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953EA4">
        <w:rPr>
          <w:rFonts w:ascii="Times New Roman" w:eastAsia="Times New Roman" w:hAnsi="Times New Roman"/>
          <w:noProof/>
          <w:sz w:val="24"/>
          <w:lang w:val="en-GB"/>
        </w:rPr>
        <w:t>Viši stručni saradnik za upravljanje glavnom knjigom - 1 izvršilac u Službi za upravljanje glavnom knjigom Odjeljenja za računovodstvo i finansije Sektora za administraciju i finansije Centralnog ureda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oglasu Centralne banke Bosne i Hercegovine objavljenom u dnevnom listu “Oslobođenje” i na web stranici Centralne banke Bosne i Hercegovine dana </w:t>
      </w:r>
      <w:r w:rsidR="00F42925"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</w:t>
      </w:r>
      <w:r w:rsidR="00F42925"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.202</w:t>
      </w:r>
      <w:r w:rsidR="00267684">
        <w:rPr>
          <w:rFonts w:ascii="Times New Roman" w:hAnsi="Times New Roman"/>
          <w:sz w:val="24"/>
        </w:rPr>
        <w:t>5</w:t>
      </w:r>
      <w:r w:rsidR="00C20A4A" w:rsidRPr="00DE3654">
        <w:rPr>
          <w:rFonts w:ascii="Times New Roman" w:hAnsi="Times New Roman"/>
          <w:sz w:val="24"/>
        </w:rPr>
        <w:t xml:space="preserve">. </w:t>
      </w:r>
      <w:proofErr w:type="spellStart"/>
      <w:r w:rsidR="00C20A4A" w:rsidRPr="00DE3654">
        <w:rPr>
          <w:rFonts w:ascii="Times New Roman" w:hAnsi="Times New Roman"/>
          <w:sz w:val="24"/>
        </w:rPr>
        <w:t>godine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. </w:t>
      </w:r>
    </w:p>
    <w:p w14:paraId="732C1227" w14:textId="4A25CEEA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953EA4">
        <w:rPr>
          <w:rFonts w:ascii="Times New Roman" w:hAnsi="Times New Roman"/>
          <w:noProof/>
          <w:sz w:val="24"/>
          <w:lang w:val="hr-BA"/>
        </w:rPr>
        <w:t>30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B2213C">
        <w:rPr>
          <w:rFonts w:ascii="Times New Roman" w:hAnsi="Times New Roman"/>
          <w:noProof/>
          <w:sz w:val="24"/>
          <w:lang w:val="hr-BA"/>
        </w:rPr>
        <w:t>01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B2213C">
        <w:rPr>
          <w:rFonts w:ascii="Times New Roman" w:hAnsi="Times New Roman"/>
          <w:noProof/>
          <w:sz w:val="24"/>
          <w:lang w:val="hr-BA"/>
        </w:rPr>
        <w:t>6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B2213C">
        <w:rPr>
          <w:rFonts w:ascii="Times New Roman" w:hAnsi="Times New Roman"/>
          <w:noProof/>
          <w:sz w:val="24"/>
          <w:lang w:val="hr-BA"/>
        </w:rPr>
        <w:t xml:space="preserve">lo je </w:t>
      </w:r>
      <w:r w:rsidR="009733FB">
        <w:rPr>
          <w:rFonts w:ascii="Times New Roman" w:hAnsi="Times New Roman"/>
          <w:noProof/>
          <w:sz w:val="24"/>
          <w:lang w:val="hr-BA"/>
        </w:rPr>
        <w:t>četrnaest</w:t>
      </w:r>
      <w:r w:rsidR="00B2213C">
        <w:rPr>
          <w:rFonts w:ascii="Times New Roman" w:hAnsi="Times New Roman"/>
          <w:noProof/>
          <w:sz w:val="24"/>
          <w:lang w:val="hr-BA"/>
        </w:rPr>
        <w:t xml:space="preserve"> od </w:t>
      </w:r>
      <w:r w:rsidR="009733FB">
        <w:rPr>
          <w:rFonts w:ascii="Times New Roman" w:hAnsi="Times New Roman"/>
          <w:noProof/>
          <w:sz w:val="24"/>
          <w:lang w:val="hr-BA"/>
        </w:rPr>
        <w:t>dvadeset</w:t>
      </w:r>
      <w:r w:rsidR="00B2213C">
        <w:rPr>
          <w:rFonts w:ascii="Times New Roman" w:hAnsi="Times New Roman"/>
          <w:noProof/>
          <w:sz w:val="24"/>
          <w:lang w:val="hr-BA"/>
        </w:rPr>
        <w:t xml:space="preserve"> uredno pozvan</w:t>
      </w:r>
      <w:r w:rsidR="00953EA4">
        <w:rPr>
          <w:rFonts w:ascii="Times New Roman" w:hAnsi="Times New Roman"/>
          <w:noProof/>
          <w:sz w:val="24"/>
          <w:lang w:val="hr-BA"/>
        </w:rPr>
        <w:t>ih</w:t>
      </w:r>
      <w:r w:rsidR="00B2213C">
        <w:rPr>
          <w:rFonts w:ascii="Times New Roman" w:hAnsi="Times New Roman"/>
          <w:noProof/>
          <w:sz w:val="24"/>
          <w:lang w:val="hr-BA"/>
        </w:rPr>
        <w:t xml:space="preserve"> kandidata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09B94C65" w14:textId="5E668682" w:rsidR="00C21B74" w:rsidRPr="00DE3654" w:rsidRDefault="00C20A4A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E3654">
        <w:rPr>
          <w:rFonts w:ascii="Times New Roman" w:hAnsi="Times New Roman"/>
          <w:sz w:val="24"/>
        </w:rPr>
        <w:t>Komisija</w:t>
      </w:r>
      <w:proofErr w:type="spellEnd"/>
      <w:r w:rsidRPr="00DE3654">
        <w:rPr>
          <w:rFonts w:ascii="Times New Roman" w:hAnsi="Times New Roman"/>
          <w:sz w:val="24"/>
        </w:rPr>
        <w:t xml:space="preserve"> za </w:t>
      </w:r>
      <w:proofErr w:type="spellStart"/>
      <w:r w:rsidRPr="00DE3654">
        <w:rPr>
          <w:rFonts w:ascii="Times New Roman" w:hAnsi="Times New Roman"/>
          <w:sz w:val="24"/>
        </w:rPr>
        <w:t>izbor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kandidata</w:t>
      </w:r>
      <w:proofErr w:type="spellEnd"/>
      <w:r w:rsidRPr="00DE3654">
        <w:rPr>
          <w:rFonts w:ascii="Times New Roman" w:hAnsi="Times New Roman"/>
          <w:sz w:val="24"/>
        </w:rPr>
        <w:t xml:space="preserve"> (u </w:t>
      </w:r>
      <w:proofErr w:type="spellStart"/>
      <w:r w:rsidRPr="00DE3654">
        <w:rPr>
          <w:rFonts w:ascii="Times New Roman" w:hAnsi="Times New Roman"/>
          <w:sz w:val="24"/>
        </w:rPr>
        <w:t>daljem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tekstu</w:t>
      </w:r>
      <w:proofErr w:type="spellEnd"/>
      <w:r w:rsidRPr="00DE3654">
        <w:rPr>
          <w:rFonts w:ascii="Times New Roman" w:hAnsi="Times New Roman"/>
          <w:sz w:val="24"/>
        </w:rPr>
        <w:t xml:space="preserve">: </w:t>
      </w:r>
      <w:proofErr w:type="spellStart"/>
      <w:r w:rsidRPr="00DE3654">
        <w:rPr>
          <w:rFonts w:ascii="Times New Roman" w:hAnsi="Times New Roman"/>
          <w:sz w:val="24"/>
        </w:rPr>
        <w:t>Komisija</w:t>
      </w:r>
      <w:proofErr w:type="spellEnd"/>
      <w:r w:rsidRPr="00DE3654">
        <w:rPr>
          <w:rFonts w:ascii="Times New Roman" w:hAnsi="Times New Roman"/>
          <w:sz w:val="24"/>
        </w:rPr>
        <w:t xml:space="preserve">) je </w:t>
      </w:r>
      <w:proofErr w:type="spellStart"/>
      <w:r w:rsidRPr="00DE3654">
        <w:rPr>
          <w:rFonts w:ascii="Times New Roman" w:hAnsi="Times New Roman"/>
          <w:sz w:val="24"/>
        </w:rPr>
        <w:t>utvrdila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rezultate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testiranja</w:t>
      </w:r>
      <w:proofErr w:type="spellEnd"/>
      <w:r w:rsidRPr="00DE3654">
        <w:rPr>
          <w:rFonts w:ascii="Times New Roman" w:hAnsi="Times New Roman"/>
          <w:sz w:val="24"/>
        </w:rPr>
        <w:t xml:space="preserve">, </w:t>
      </w:r>
      <w:proofErr w:type="spellStart"/>
      <w:r w:rsidRPr="00DE3654">
        <w:rPr>
          <w:rFonts w:ascii="Times New Roman" w:hAnsi="Times New Roman"/>
          <w:sz w:val="24"/>
        </w:rPr>
        <w:t>kako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slijedi</w:t>
      </w:r>
      <w:proofErr w:type="spellEnd"/>
      <w:r w:rsidRPr="00DE3654">
        <w:rPr>
          <w:rFonts w:ascii="Times New Roman" w:hAnsi="Times New Roman"/>
          <w:sz w:val="24"/>
        </w:rPr>
        <w:t xml:space="preserve">: </w:t>
      </w:r>
    </w:p>
    <w:tbl>
      <w:tblPr>
        <w:tblStyle w:val="Koordinatnamreatabele"/>
        <w:tblW w:w="9350" w:type="dxa"/>
        <w:tblLook w:val="04A0" w:firstRow="1" w:lastRow="0" w:firstColumn="1" w:lastColumn="0" w:noHBand="0" w:noVBand="1"/>
      </w:tblPr>
      <w:tblGrid>
        <w:gridCol w:w="922"/>
        <w:gridCol w:w="2601"/>
        <w:gridCol w:w="4664"/>
        <w:gridCol w:w="1163"/>
      </w:tblGrid>
      <w:tr w:rsidR="00953EA4" w:rsidRPr="00DE3654" w14:paraId="6100DDC4" w14:textId="6C6876D7" w:rsidTr="00953EA4">
        <w:trPr>
          <w:trHeight w:val="834"/>
        </w:trPr>
        <w:tc>
          <w:tcPr>
            <w:tcW w:w="927" w:type="dxa"/>
            <w:vAlign w:val="center"/>
          </w:tcPr>
          <w:p w14:paraId="192F46AA" w14:textId="77777777" w:rsidR="00953EA4" w:rsidRPr="00DE365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652" w:type="dxa"/>
            <w:vAlign w:val="center"/>
          </w:tcPr>
          <w:p w14:paraId="45B6B370" w14:textId="55D12562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4780" w:type="dxa"/>
          </w:tcPr>
          <w:p w14:paraId="6FF88757" w14:textId="7777777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Test iz poznavanja poslova oglašenog radnog mjesta, odnosno finansijsko-računovodstvenih poslova i opšteg znanja o </w:t>
            </w:r>
          </w:p>
          <w:p w14:paraId="2C6D02FA" w14:textId="7777777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Centralnoj banci Bosne i Hercegovine</w:t>
            </w:r>
          </w:p>
          <w:p w14:paraId="059284E4" w14:textId="6D17F9B9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(max. 60 bodova)</w:t>
            </w:r>
          </w:p>
        </w:tc>
        <w:tc>
          <w:tcPr>
            <w:tcW w:w="991" w:type="dxa"/>
            <w:vAlign w:val="center"/>
          </w:tcPr>
          <w:p w14:paraId="7EA418DA" w14:textId="27B5AA09" w:rsidR="00953EA4" w:rsidRPr="00DE365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Vrijeme intervjua</w:t>
            </w:r>
          </w:p>
        </w:tc>
      </w:tr>
      <w:tr w:rsidR="00953EA4" w:rsidRPr="00DE3654" w14:paraId="5D83D9A6" w14:textId="785A620C" w:rsidTr="00953EA4">
        <w:trPr>
          <w:trHeight w:val="273"/>
        </w:trPr>
        <w:tc>
          <w:tcPr>
            <w:tcW w:w="927" w:type="dxa"/>
          </w:tcPr>
          <w:p w14:paraId="79489838" w14:textId="74FCA8C3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71048B63" w14:textId="2481354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MAAK25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5664364C" w14:textId="04E0E048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1" w14:textId="63D9120A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10:00</w:t>
            </w:r>
          </w:p>
        </w:tc>
      </w:tr>
      <w:tr w:rsidR="00953EA4" w:rsidRPr="00DE3654" w14:paraId="4B89BCEA" w14:textId="77777777" w:rsidTr="00953EA4">
        <w:trPr>
          <w:trHeight w:val="273"/>
        </w:trPr>
        <w:tc>
          <w:tcPr>
            <w:tcW w:w="927" w:type="dxa"/>
          </w:tcPr>
          <w:p w14:paraId="61422EC1" w14:textId="77777777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430895A7" w14:textId="6950BFD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ZEHA1201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3B6204F4" w14:textId="7CE6326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3F3" w14:textId="468700D5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10:15</w:t>
            </w:r>
          </w:p>
        </w:tc>
      </w:tr>
      <w:tr w:rsidR="00953EA4" w:rsidRPr="00DE3654" w14:paraId="21F5FD21" w14:textId="77777777" w:rsidTr="00953EA4">
        <w:trPr>
          <w:trHeight w:val="273"/>
        </w:trPr>
        <w:tc>
          <w:tcPr>
            <w:tcW w:w="927" w:type="dxa"/>
          </w:tcPr>
          <w:p w14:paraId="1D7958DD" w14:textId="77777777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5352CCFB" w14:textId="75A181C3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SELMA78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2A8EA9F4" w14:textId="13DB21D9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747" w14:textId="275015C0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10:30</w:t>
            </w:r>
          </w:p>
        </w:tc>
      </w:tr>
      <w:tr w:rsidR="00953EA4" w:rsidRPr="00DE3654" w14:paraId="22174DDA" w14:textId="77777777" w:rsidTr="00953EA4">
        <w:trPr>
          <w:trHeight w:val="273"/>
        </w:trPr>
        <w:tc>
          <w:tcPr>
            <w:tcW w:w="927" w:type="dxa"/>
          </w:tcPr>
          <w:p w14:paraId="214BD55E" w14:textId="77777777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75452F7E" w14:textId="3036F2B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FIKO2026!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7A3BE563" w14:textId="1081D1A1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777" w14:textId="462CBB00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10:45</w:t>
            </w:r>
          </w:p>
        </w:tc>
      </w:tr>
      <w:tr w:rsidR="00953EA4" w:rsidRPr="00DE3654" w14:paraId="2C78E1BF" w14:textId="77777777" w:rsidTr="00953EA4">
        <w:trPr>
          <w:trHeight w:val="273"/>
        </w:trPr>
        <w:tc>
          <w:tcPr>
            <w:tcW w:w="927" w:type="dxa"/>
          </w:tcPr>
          <w:p w14:paraId="3C59083A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3E9D72C3" w14:textId="2E630FC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GAEL21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39486693" w14:textId="00E5236F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709" w14:textId="63522F81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1A7F41D3" w14:textId="77777777" w:rsidTr="00953EA4">
        <w:trPr>
          <w:trHeight w:val="273"/>
        </w:trPr>
        <w:tc>
          <w:tcPr>
            <w:tcW w:w="927" w:type="dxa"/>
          </w:tcPr>
          <w:p w14:paraId="7588E76C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20230216" w14:textId="4ABB0B73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TURIST26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7A13D689" w14:textId="636A573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016" w14:textId="62F5428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0C477FA8" w14:textId="77777777" w:rsidTr="00953EA4">
        <w:trPr>
          <w:trHeight w:val="273"/>
        </w:trPr>
        <w:tc>
          <w:tcPr>
            <w:tcW w:w="927" w:type="dxa"/>
          </w:tcPr>
          <w:p w14:paraId="4B82713E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663F2778" w14:textId="3981330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120222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1FDA1F88" w14:textId="3D5D595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E54" w14:textId="760606A3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1D9FE9A3" w14:textId="77777777" w:rsidTr="00953EA4">
        <w:trPr>
          <w:trHeight w:val="273"/>
        </w:trPr>
        <w:tc>
          <w:tcPr>
            <w:tcW w:w="927" w:type="dxa"/>
          </w:tcPr>
          <w:p w14:paraId="22BFC438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31D76A77" w14:textId="478589A2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261189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301C3411" w14:textId="7147531D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C0A" w14:textId="603993FF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30D519E5" w14:textId="77777777" w:rsidTr="00953EA4">
        <w:trPr>
          <w:trHeight w:val="273"/>
        </w:trPr>
        <w:tc>
          <w:tcPr>
            <w:tcW w:w="927" w:type="dxa"/>
          </w:tcPr>
          <w:p w14:paraId="01F1689C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2546C7EB" w14:textId="08D8F27A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SARAJEVO 071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27705266" w14:textId="3C7494D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D3C" w14:textId="144BC120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4381B85A" w14:textId="77777777" w:rsidTr="00953EA4">
        <w:trPr>
          <w:trHeight w:val="273"/>
        </w:trPr>
        <w:tc>
          <w:tcPr>
            <w:tcW w:w="927" w:type="dxa"/>
          </w:tcPr>
          <w:p w14:paraId="51A0DD0C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234CFE43" w14:textId="1CC07AAC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071218KZ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5BC30F34" w14:textId="611710C1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6F0" w14:textId="393CB25B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3E89D3DE" w14:textId="77777777" w:rsidTr="00953EA4">
        <w:trPr>
          <w:trHeight w:val="273"/>
        </w:trPr>
        <w:tc>
          <w:tcPr>
            <w:tcW w:w="927" w:type="dxa"/>
          </w:tcPr>
          <w:p w14:paraId="734C7487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571F5AD3" w14:textId="5FEED32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75794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68EC2D30" w14:textId="4047F2B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0CA" w14:textId="68931CB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7AAA3DA9" w14:textId="77777777" w:rsidTr="00953EA4">
        <w:trPr>
          <w:trHeight w:val="273"/>
        </w:trPr>
        <w:tc>
          <w:tcPr>
            <w:tcW w:w="927" w:type="dxa"/>
          </w:tcPr>
          <w:p w14:paraId="578D7FE4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6A702903" w14:textId="126EA334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12082023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6BE25A76" w14:textId="421C35CF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32A" w14:textId="6EC128D0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60BD7E0A" w14:textId="77777777" w:rsidTr="00953EA4">
        <w:trPr>
          <w:trHeight w:val="273"/>
        </w:trPr>
        <w:tc>
          <w:tcPr>
            <w:tcW w:w="927" w:type="dxa"/>
          </w:tcPr>
          <w:p w14:paraId="07659886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5F990C98" w14:textId="4481443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CETI067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0D84FABD" w14:textId="30FC504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E21" w14:textId="0347A45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3A5DA2EE" w14:textId="77777777" w:rsidTr="00953EA4">
        <w:trPr>
          <w:trHeight w:val="273"/>
        </w:trPr>
        <w:tc>
          <w:tcPr>
            <w:tcW w:w="927" w:type="dxa"/>
          </w:tcPr>
          <w:p w14:paraId="69DDCA99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7CB23854" w14:textId="58BA5BD0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251189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5C27EC2B" w14:textId="28021D7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EFE" w14:textId="6E78129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</w:tbl>
    <w:p w14:paraId="6B024406" w14:textId="77777777" w:rsidR="00953EA4" w:rsidRDefault="00953EA4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46A2B4E3" w:rsidR="00C20A4A" w:rsidRPr="00DE3654" w:rsidRDefault="00C20A4A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>Na osnovu ostvarenih rezultata kandidata na testiranju, Komisija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utvrdila,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F99E8C" w14:textId="24EEFCC9" w:rsidR="00C20A4A" w:rsidRPr="00DE3654" w:rsidRDefault="00805A8C" w:rsidP="00C20A4A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953EA4">
        <w:rPr>
          <w:rFonts w:ascii="Times New Roman" w:hAnsi="Times New Roman" w:cs="Times New Roman"/>
          <w:sz w:val="24"/>
          <w:szCs w:val="24"/>
          <w:lang w:val="pl-PL"/>
        </w:rPr>
        <w:t>03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953EA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10:</w:t>
      </w:r>
      <w:r w:rsidR="00D94C56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4CF68CDB" w14:textId="77777777" w:rsidR="00953EA4" w:rsidRDefault="00953EA4" w:rsidP="009733FB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2CB30C1" w14:textId="7F647C03" w:rsidR="001F4867" w:rsidRPr="009733FB" w:rsidRDefault="00C20A4A" w:rsidP="009733FB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Odjeljenje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za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ljudske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resurse</w:t>
      </w:r>
      <w:proofErr w:type="spellEnd"/>
    </w:p>
    <w:sectPr w:rsidR="001F4867" w:rsidRPr="009733FB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9B50" w14:textId="77777777" w:rsidR="0001494A" w:rsidRDefault="0001494A" w:rsidP="00983C7A">
      <w:pPr>
        <w:spacing w:after="0" w:line="240" w:lineRule="auto"/>
      </w:pPr>
      <w:r>
        <w:separator/>
      </w:r>
    </w:p>
  </w:endnote>
  <w:endnote w:type="continuationSeparator" w:id="0">
    <w:p w14:paraId="651EA266" w14:textId="77777777" w:rsidR="0001494A" w:rsidRDefault="0001494A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Bosne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Hercegovine</w:t>
                          </w:r>
                          <w:proofErr w:type="spellEnd"/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Tita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25, 71000 Sarajevo, Bosna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iperveza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F2AA" w14:textId="77777777" w:rsidR="0001494A" w:rsidRDefault="0001494A" w:rsidP="00983C7A">
      <w:pPr>
        <w:spacing w:after="0" w:line="240" w:lineRule="auto"/>
      </w:pPr>
      <w:r>
        <w:separator/>
      </w:r>
    </w:p>
  </w:footnote>
  <w:footnote w:type="continuationSeparator" w:id="0">
    <w:p w14:paraId="14ABFD10" w14:textId="77777777" w:rsidR="0001494A" w:rsidRDefault="0001494A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1494A"/>
    <w:rsid w:val="000867B0"/>
    <w:rsid w:val="00094CF8"/>
    <w:rsid w:val="000C49A2"/>
    <w:rsid w:val="00156EE2"/>
    <w:rsid w:val="001859D8"/>
    <w:rsid w:val="001F4867"/>
    <w:rsid w:val="001F4A99"/>
    <w:rsid w:val="00267684"/>
    <w:rsid w:val="00356621"/>
    <w:rsid w:val="00374BD1"/>
    <w:rsid w:val="004526D8"/>
    <w:rsid w:val="004D4E1C"/>
    <w:rsid w:val="00552633"/>
    <w:rsid w:val="006275FC"/>
    <w:rsid w:val="00670F98"/>
    <w:rsid w:val="006D2274"/>
    <w:rsid w:val="007450A4"/>
    <w:rsid w:val="00805A8C"/>
    <w:rsid w:val="0080699E"/>
    <w:rsid w:val="00953EA4"/>
    <w:rsid w:val="009733FB"/>
    <w:rsid w:val="00983C7A"/>
    <w:rsid w:val="009A0984"/>
    <w:rsid w:val="009E041F"/>
    <w:rsid w:val="00B02ED8"/>
    <w:rsid w:val="00B117A0"/>
    <w:rsid w:val="00B2213C"/>
    <w:rsid w:val="00B64C21"/>
    <w:rsid w:val="00B90B9D"/>
    <w:rsid w:val="00BA2EAF"/>
    <w:rsid w:val="00C140B3"/>
    <w:rsid w:val="00C20A4A"/>
    <w:rsid w:val="00C21B74"/>
    <w:rsid w:val="00C26CD7"/>
    <w:rsid w:val="00C9738F"/>
    <w:rsid w:val="00D038B9"/>
    <w:rsid w:val="00D451D3"/>
    <w:rsid w:val="00D730EC"/>
    <w:rsid w:val="00D9325A"/>
    <w:rsid w:val="00D94C56"/>
    <w:rsid w:val="00DE1ADF"/>
    <w:rsid w:val="00DE3654"/>
    <w:rsid w:val="00DE56EC"/>
    <w:rsid w:val="00DE77F6"/>
    <w:rsid w:val="00EE4522"/>
    <w:rsid w:val="00F00157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paragraph" w:styleId="Naslov1">
    <w:name w:val="heading 1"/>
    <w:basedOn w:val="Normalno"/>
    <w:next w:val="Normalno"/>
    <w:link w:val="Naslov1Znak"/>
    <w:qFormat/>
    <w:rsid w:val="00953EA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Zadanifontparagrafa"/>
    <w:link w:val="Naslov1"/>
    <w:rsid w:val="00953EA4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Props1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2</cp:revision>
  <cp:lastPrinted>2022-03-25T09:09:00Z</cp:lastPrinted>
  <dcterms:created xsi:type="dcterms:W3CDTF">2026-02-02T12:59:00Z</dcterms:created>
  <dcterms:modified xsi:type="dcterms:W3CDTF">2026-02-02T12:59:00Z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