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27992BC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određeno vrijeme </w:t>
      </w:r>
    </w:p>
    <w:p w14:paraId="57FC9FDC" w14:textId="23AD74F4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</w:p>
    <w:p w14:paraId="506C8A22" w14:textId="77777777" w:rsidR="00805A8C" w:rsidRPr="00DE3654" w:rsidRDefault="00805A8C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</w:p>
    <w:p w14:paraId="7F0C9475" w14:textId="5E70FC1A" w:rsidR="00C20A4A" w:rsidRPr="00DE3654" w:rsidRDefault="00F42925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F42925">
        <w:rPr>
          <w:rFonts w:ascii="Times New Roman" w:eastAsia="Times New Roman" w:hAnsi="Times New Roman"/>
          <w:noProof/>
          <w:sz w:val="24"/>
          <w:lang w:val="en-GB"/>
        </w:rPr>
        <w:t>Pripravnik, sa završenim fakultetom tehničkog, tehnološkog ili prirodnog smjera koji se odnose na analizu ili obradu metala, radi osposobljavanja za samostalan rad – 1 izvršilac na određeno vrijeme u trajanju od godinu dana u Centralnom uredu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oglasu Centralne banke Bosne i Hercegovine objavljenom u dnevnom listu “Oslobođenje” i na web stranici Centralne banke Bosne i Hercegovine dana </w:t>
      </w:r>
      <w:r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godine. </w:t>
      </w:r>
    </w:p>
    <w:p w14:paraId="732C1227" w14:textId="130CDB21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F42925">
        <w:rPr>
          <w:rFonts w:ascii="Times New Roman" w:hAnsi="Times New Roman"/>
          <w:noProof/>
          <w:sz w:val="24"/>
          <w:lang w:val="hr-BA"/>
        </w:rPr>
        <w:t>19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F42925">
        <w:rPr>
          <w:rFonts w:ascii="Times New Roman" w:hAnsi="Times New Roman"/>
          <w:noProof/>
          <w:sz w:val="24"/>
          <w:lang w:val="hr-BA"/>
        </w:rPr>
        <w:t>12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0C49A2" w:rsidRPr="00DE3654">
        <w:rPr>
          <w:rFonts w:ascii="Times New Roman" w:hAnsi="Times New Roman"/>
          <w:noProof/>
          <w:sz w:val="24"/>
          <w:lang w:val="hr-BA"/>
        </w:rPr>
        <w:t>5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F42925">
        <w:rPr>
          <w:rFonts w:ascii="Times New Roman" w:hAnsi="Times New Roman"/>
          <w:noProof/>
          <w:sz w:val="24"/>
          <w:lang w:val="hr-BA"/>
        </w:rPr>
        <w:t>o je jedan kandidat koji je ujedno i jedini kandidat koji je pozvan na testiranje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4EEBA11A" w14:textId="0034EEC9" w:rsidR="00C20A4A" w:rsidRPr="00DE3654" w:rsidRDefault="00C20A4A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DE3654">
        <w:rPr>
          <w:rFonts w:ascii="Times New Roman" w:hAnsi="Times New Roman"/>
          <w:sz w:val="24"/>
        </w:rPr>
        <w:t xml:space="preserve">Komisija za izbor kandidata (u daljem tekstu: Komisija) je utvrdila rezultate testiranja, kako slijedi: </w:t>
      </w:r>
    </w:p>
    <w:p w14:paraId="09B94C65" w14:textId="77777777" w:rsidR="00C21B74" w:rsidRPr="00DE3654" w:rsidRDefault="00C21B74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7"/>
        <w:gridCol w:w="2652"/>
        <w:gridCol w:w="2945"/>
        <w:gridCol w:w="2826"/>
      </w:tblGrid>
      <w:tr w:rsidR="00EE4522" w:rsidRPr="00DE3654" w14:paraId="6100DDC4" w14:textId="6C6876D7" w:rsidTr="00EE4522">
        <w:trPr>
          <w:trHeight w:val="834"/>
        </w:trPr>
        <w:tc>
          <w:tcPr>
            <w:tcW w:w="927" w:type="dxa"/>
          </w:tcPr>
          <w:p w14:paraId="192F46AA" w14:textId="77777777" w:rsidR="00EE4522" w:rsidRPr="00DE3654" w:rsidRDefault="00EE4522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</w:tcPr>
          <w:p w14:paraId="45B6B370" w14:textId="77777777" w:rsidR="00EE4522" w:rsidRPr="00DE3654" w:rsidRDefault="00EE4522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2945" w:type="dxa"/>
          </w:tcPr>
          <w:p w14:paraId="7D0A1DE2" w14:textId="22A3F3E3" w:rsidR="00267684" w:rsidRDefault="00EE4522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Test iz </w:t>
            </w:r>
            <w:r w:rsidR="0026768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opšteg znanja o Centralnoj banci </w:t>
            </w:r>
          </w:p>
          <w:p w14:paraId="0D0EA311" w14:textId="13D21206" w:rsidR="00EE4522" w:rsidRPr="00DE3654" w:rsidRDefault="00267684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Bosne i Hercegovine</w:t>
            </w:r>
          </w:p>
          <w:p w14:paraId="059284E4" w14:textId="76D599CD" w:rsidR="00EE4522" w:rsidRPr="00DE3654" w:rsidRDefault="00EE4522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(max. </w:t>
            </w:r>
            <w:r w:rsidR="00F42925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0 bodova)</w:t>
            </w:r>
          </w:p>
        </w:tc>
        <w:tc>
          <w:tcPr>
            <w:tcW w:w="2826" w:type="dxa"/>
          </w:tcPr>
          <w:p w14:paraId="7EA418DA" w14:textId="27B5AA09" w:rsidR="00EE4522" w:rsidRPr="00DE3654" w:rsidRDefault="00F42925" w:rsidP="00D07C41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</w:t>
            </w:r>
            <w:r w:rsidR="00EE452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rijeme intervjua</w:t>
            </w:r>
          </w:p>
        </w:tc>
      </w:tr>
      <w:tr w:rsidR="00EE4522" w:rsidRPr="00DE3654" w14:paraId="5D83D9A6" w14:textId="785A620C" w:rsidTr="00EE4522">
        <w:trPr>
          <w:trHeight w:val="273"/>
        </w:trPr>
        <w:tc>
          <w:tcPr>
            <w:tcW w:w="927" w:type="dxa"/>
          </w:tcPr>
          <w:p w14:paraId="79489838" w14:textId="432C7A6E" w:rsidR="00EE4522" w:rsidRPr="00EE4522" w:rsidRDefault="00EE4522" w:rsidP="00DE365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E452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B63" w14:textId="79B3C110" w:rsidR="00EE4522" w:rsidRPr="00EE4522" w:rsidRDefault="00F42925" w:rsidP="00DE365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26262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64C" w14:textId="69D37ACC" w:rsidR="00EE4522" w:rsidRPr="00EE4522" w:rsidRDefault="00F42925" w:rsidP="00DE365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6</w:t>
            </w:r>
            <w:r w:rsidR="0026768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3647BA46" w:rsidR="00EE4522" w:rsidRPr="00EE4522" w:rsidRDefault="00EE4522" w:rsidP="00DE365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1</w:t>
            </w:r>
            <w:r w:rsidR="0026768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.00</w:t>
            </w:r>
          </w:p>
        </w:tc>
      </w:tr>
    </w:tbl>
    <w:p w14:paraId="1CE59014" w14:textId="77777777" w:rsidR="00C21B74" w:rsidRPr="00DE3654" w:rsidRDefault="00C21B7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563C96BF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>Na osnovu ostvarenih rezultata kandidata na testiranju, Komisija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utvrdila,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ova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1D3E8A82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23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140B3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D451D3" w:rsidRPr="00DE365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67684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A7667FC" w14:textId="77777777" w:rsidR="00C21B74" w:rsidRPr="00DE3654" w:rsidRDefault="00B64C21" w:rsidP="00C20A4A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ab/>
      </w:r>
    </w:p>
    <w:p w14:paraId="064458F9" w14:textId="600C7F24" w:rsidR="00C20A4A" w:rsidRPr="00DE3654" w:rsidRDefault="00C20A4A" w:rsidP="00C20A4A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 za ljudske resurse</w:t>
      </w:r>
    </w:p>
    <w:p w14:paraId="32CB30C1" w14:textId="77777777" w:rsidR="001F4867" w:rsidRPr="00DE3654" w:rsidRDefault="001F4867" w:rsidP="00983C7A">
      <w:pPr>
        <w:jc w:val="both"/>
        <w:rPr>
          <w:rFonts w:ascii="Times New Roman" w:hAnsi="Times New Roman"/>
          <w:sz w:val="24"/>
          <w:lang w:val="en-GB"/>
        </w:rPr>
      </w:pPr>
    </w:p>
    <w:sectPr w:rsidR="001F4867" w:rsidRPr="00DE3654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87BD" w14:textId="77777777" w:rsidR="00DE1ADF" w:rsidRDefault="00DE1ADF" w:rsidP="00983C7A">
      <w:pPr>
        <w:spacing w:after="0" w:line="240" w:lineRule="auto"/>
      </w:pPr>
      <w:r>
        <w:separator/>
      </w:r>
    </w:p>
  </w:endnote>
  <w:endnote w:type="continuationSeparator" w:id="0">
    <w:p w14:paraId="7D0D553C" w14:textId="77777777" w:rsidR="00DE1ADF" w:rsidRDefault="00DE1ADF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 banka Bosne i Hercegovine</w:t>
                          </w:r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 Tita 25, 71000 Sarajevo, Bosna i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yperlink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51D48" w14:textId="77777777" w:rsidR="00DE1ADF" w:rsidRDefault="00DE1ADF" w:rsidP="00983C7A">
      <w:pPr>
        <w:spacing w:after="0" w:line="240" w:lineRule="auto"/>
      </w:pPr>
      <w:r>
        <w:separator/>
      </w:r>
    </w:p>
  </w:footnote>
  <w:footnote w:type="continuationSeparator" w:id="0">
    <w:p w14:paraId="6F5CF6CD" w14:textId="77777777" w:rsidR="00DE1ADF" w:rsidRDefault="00DE1ADF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867B0"/>
    <w:rsid w:val="00094CF8"/>
    <w:rsid w:val="000C49A2"/>
    <w:rsid w:val="001F4867"/>
    <w:rsid w:val="001F4A99"/>
    <w:rsid w:val="00267684"/>
    <w:rsid w:val="00356621"/>
    <w:rsid w:val="00374BD1"/>
    <w:rsid w:val="004526D8"/>
    <w:rsid w:val="004D4E1C"/>
    <w:rsid w:val="00552633"/>
    <w:rsid w:val="006275FC"/>
    <w:rsid w:val="006D2274"/>
    <w:rsid w:val="007450A4"/>
    <w:rsid w:val="00805A8C"/>
    <w:rsid w:val="0080699E"/>
    <w:rsid w:val="00983C7A"/>
    <w:rsid w:val="009A0984"/>
    <w:rsid w:val="00B02ED8"/>
    <w:rsid w:val="00B117A0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9325A"/>
    <w:rsid w:val="00DE1ADF"/>
    <w:rsid w:val="00DE3654"/>
    <w:rsid w:val="00DE77F6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Props1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3</cp:revision>
  <cp:lastPrinted>2022-03-25T09:09:00Z</cp:lastPrinted>
  <dcterms:created xsi:type="dcterms:W3CDTF">2025-12-22T10:16:00Z</dcterms:created>
  <dcterms:modified xsi:type="dcterms:W3CDTF">2025-12-22T10:44:00Z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