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29C9" w14:textId="788C2E16" w:rsidR="00331FF7" w:rsidRDefault="006B5DAC" w:rsidP="00331FF7">
      <w:pPr>
        <w:jc w:val="both"/>
        <w:rPr>
          <w:rFonts w:cs="Times New Roman"/>
          <w:color w:val="01367B" w:themeColor="accent1"/>
          <w:sz w:val="28"/>
          <w:szCs w:val="28"/>
          <w:lang w:val="bs-Latn-BA"/>
        </w:rPr>
      </w:pPr>
      <w:r w:rsidRPr="00331FF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BD8ECA" wp14:editId="477F76CB">
                <wp:simplePos x="0" y="0"/>
                <wp:positionH relativeFrom="column">
                  <wp:posOffset>295275</wp:posOffset>
                </wp:positionH>
                <wp:positionV relativeFrom="paragraph">
                  <wp:posOffset>3438525</wp:posOffset>
                </wp:positionV>
                <wp:extent cx="7480092" cy="491490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092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AD9E7" w14:textId="202FDE40" w:rsidR="00BD7867" w:rsidRPr="00331FF7" w:rsidRDefault="00331FF7" w:rsidP="00BD7867">
                            <w:pPr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 xml:space="preserve">Sarajevo, </w:t>
                            </w:r>
                            <w:r w:rsidR="00972FF4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22</w:t>
                            </w:r>
                            <w:r w:rsidR="00EB607D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.</w:t>
                            </w:r>
                            <w:r w:rsidR="002B74D6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  <w:r w:rsidR="00972FF4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5</w:t>
                            </w:r>
                            <w:r w:rsidR="002B74D6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. 202</w:t>
                            </w:r>
                            <w:r w:rsidR="00972FF4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6</w:t>
                            </w:r>
                            <w:r w:rsidR="002B74D6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>. godine</w:t>
                            </w:r>
                            <w:r w:rsidR="00BD7867" w:rsidRPr="00331FF7">
                              <w:rPr>
                                <w:rFonts w:cs="Times New Roman"/>
                                <w:b/>
                                <w:bCs/>
                                <w:color w:val="01367B" w:themeColor="accent1"/>
                                <w:sz w:val="20"/>
                                <w:szCs w:val="20"/>
                                <w:lang w:val="bs-Latn-B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D8ECA" id="Rectangle 6" o:spid="_x0000_s1026" style="position:absolute;left:0;text-align:left;margin-left:23.25pt;margin-top:270.75pt;width:589pt;height:3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" filled="f" stroked="f" strokeweight="1pt">
                <v:textbox>
                  <w:txbxContent>
                    <w:p w14:paraId="0ABAD9E7" w14:textId="202FDE40" w:rsidR="00BD7867" w:rsidRPr="00331FF7" w:rsidRDefault="00331FF7" w:rsidP="00BD7867">
                      <w:pPr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 xml:space="preserve">Sarajevo, </w:t>
                      </w:r>
                      <w:r w:rsidR="00972FF4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22</w:t>
                      </w:r>
                      <w:r w:rsidR="00EB607D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.</w:t>
                      </w:r>
                      <w:r w:rsidR="002B74D6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  <w:r w:rsidR="00972FF4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5</w:t>
                      </w:r>
                      <w:r w:rsidR="002B74D6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. 202</w:t>
                      </w:r>
                      <w:r w:rsidR="00972FF4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6</w:t>
                      </w:r>
                      <w:r w:rsidR="002B74D6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>. godine</w:t>
                      </w:r>
                      <w:r w:rsidR="00BD7867" w:rsidRPr="00331FF7">
                        <w:rPr>
                          <w:rFonts w:cs="Times New Roman"/>
                          <w:b/>
                          <w:bCs/>
                          <w:color w:val="01367B" w:themeColor="accent1"/>
                          <w:sz w:val="20"/>
                          <w:szCs w:val="20"/>
                          <w:lang w:val="bs-Latn-B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B74D6" w:rsidRPr="00331FF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EE1374" wp14:editId="6DD551F9">
                <wp:simplePos x="0" y="0"/>
                <wp:positionH relativeFrom="column">
                  <wp:posOffset>295275</wp:posOffset>
                </wp:positionH>
                <wp:positionV relativeFrom="paragraph">
                  <wp:posOffset>1876425</wp:posOffset>
                </wp:positionV>
                <wp:extent cx="5829300" cy="2263514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263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E1382" w14:textId="45B85890" w:rsidR="0086514C" w:rsidRPr="000606AF" w:rsidRDefault="006B5DAC" w:rsidP="000606AF">
                            <w:pPr>
                              <w:rPr>
                                <w:rFonts w:cs="Times New Roman"/>
                                <w:color w:val="01367B" w:themeColor="accent1"/>
                                <w:sz w:val="40"/>
                                <w:szCs w:val="40"/>
                                <w:lang w:val="bs-Latn-BA"/>
                              </w:rPr>
                            </w:pPr>
                            <w:r>
                              <w:rPr>
                                <w:rFonts w:cs="Times New Roman"/>
                                <w:color w:val="01367B" w:themeColor="accent1"/>
                                <w:sz w:val="48"/>
                                <w:szCs w:val="48"/>
                                <w:lang w:val="bs-Latn-BA"/>
                              </w:rPr>
                              <w:t>P</w:t>
                            </w:r>
                            <w:r w:rsidRPr="006B5DAC">
                              <w:rPr>
                                <w:rFonts w:cs="Times New Roman"/>
                                <w:color w:val="01367B" w:themeColor="accent1"/>
                                <w:sz w:val="48"/>
                                <w:szCs w:val="48"/>
                                <w:lang w:val="bs-Latn-BA"/>
                              </w:rPr>
                              <w:t xml:space="preserve">roljetni </w:t>
                            </w:r>
                            <w:r w:rsidRPr="006B5DAC">
                              <w:rPr>
                                <w:rFonts w:cs="Times New Roman"/>
                                <w:color w:val="01367B" w:themeColor="accent1"/>
                                <w:sz w:val="48"/>
                                <w:szCs w:val="48"/>
                                <w:lang w:val="bs-Latn-BA"/>
                              </w:rPr>
                              <w:t xml:space="preserve">krug makroekonomskih projekcija </w:t>
                            </w:r>
                            <w:r w:rsidR="00972FF4">
                              <w:rPr>
                                <w:rFonts w:cs="Times New Roman"/>
                                <w:color w:val="01367B" w:themeColor="accent1"/>
                                <w:sz w:val="48"/>
                                <w:szCs w:val="48"/>
                                <w:lang w:val="bs-Latn-BA"/>
                              </w:rPr>
                              <w:t>u 2026. godini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EE1374" id="Rectangle 5" o:spid="_x0000_s1027" style="position:absolute;left:0;text-align:left;margin-left:23.25pt;margin-top:147.75pt;width:459pt;height:178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" filled="f" stroked="f" strokeweight="1pt">
                <v:textbox>
                  <w:txbxContent>
                    <w:p w14:paraId="10EE1382" w14:textId="45B85890" w:rsidR="0086514C" w:rsidRPr="000606AF" w:rsidRDefault="006B5DAC" w:rsidP="000606AF">
                      <w:pPr>
                        <w:rPr>
                          <w:rFonts w:cs="Times New Roman"/>
                          <w:color w:val="01367B" w:themeColor="accent1"/>
                          <w:sz w:val="40"/>
                          <w:szCs w:val="40"/>
                          <w:lang w:val="bs-Latn-BA"/>
                        </w:rPr>
                      </w:pPr>
                      <w:r>
                        <w:rPr>
                          <w:rFonts w:cs="Times New Roman"/>
                          <w:color w:val="01367B" w:themeColor="accent1"/>
                          <w:sz w:val="48"/>
                          <w:szCs w:val="48"/>
                          <w:lang w:val="bs-Latn-BA"/>
                        </w:rPr>
                        <w:t>P</w:t>
                      </w:r>
                      <w:r w:rsidRPr="006B5DAC">
                        <w:rPr>
                          <w:rFonts w:cs="Times New Roman"/>
                          <w:color w:val="01367B" w:themeColor="accent1"/>
                          <w:sz w:val="48"/>
                          <w:szCs w:val="48"/>
                          <w:lang w:val="bs-Latn-BA"/>
                        </w:rPr>
                        <w:t xml:space="preserve">roljetni </w:t>
                      </w:r>
                      <w:r w:rsidRPr="006B5DAC">
                        <w:rPr>
                          <w:rFonts w:cs="Times New Roman"/>
                          <w:color w:val="01367B" w:themeColor="accent1"/>
                          <w:sz w:val="48"/>
                          <w:szCs w:val="48"/>
                          <w:lang w:val="bs-Latn-BA"/>
                        </w:rPr>
                        <w:t xml:space="preserve">krug makroekonomskih projekcija </w:t>
                      </w:r>
                      <w:r w:rsidR="00972FF4">
                        <w:rPr>
                          <w:rFonts w:cs="Times New Roman"/>
                          <w:color w:val="01367B" w:themeColor="accent1"/>
                          <w:sz w:val="48"/>
                          <w:szCs w:val="48"/>
                          <w:lang w:val="bs-Latn-BA"/>
                        </w:rPr>
                        <w:t>u 2026. godini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606AF" w:rsidRPr="00331FF7">
        <w:rPr>
          <w:rFonts w:cs="Times New Roman"/>
          <w:noProof/>
        </w:rPr>
        <w:drawing>
          <wp:anchor distT="0" distB="0" distL="114300" distR="114300" simplePos="0" relativeHeight="251652608" behindDoc="1" locked="0" layoutInCell="1" allowOverlap="1" wp14:anchorId="10EE1370" wp14:editId="215F11C7">
            <wp:simplePos x="0" y="0"/>
            <wp:positionH relativeFrom="margin">
              <wp:posOffset>-890270</wp:posOffset>
            </wp:positionH>
            <wp:positionV relativeFrom="margin">
              <wp:posOffset>-914400</wp:posOffset>
            </wp:positionV>
            <wp:extent cx="7721600" cy="109220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0" cy="109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06AF" w:rsidRPr="00331FF7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EE1372" wp14:editId="1A7A714B">
                <wp:simplePos x="0" y="0"/>
                <wp:positionH relativeFrom="column">
                  <wp:posOffset>405765</wp:posOffset>
                </wp:positionH>
                <wp:positionV relativeFrom="paragraph">
                  <wp:posOffset>3382645</wp:posOffset>
                </wp:positionV>
                <wp:extent cx="6495552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5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C073DB0" id="Straight Connector 2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266.35pt" to="543.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" strokecolor="#01367b [3204]" strokeweight=".5pt">
                <v:stroke joinstyle="miter"/>
              </v:line>
            </w:pict>
          </mc:Fallback>
        </mc:AlternateContent>
      </w:r>
    </w:p>
    <w:p w14:paraId="59FDAD28" w14:textId="240AE028" w:rsidR="009F65E0" w:rsidRDefault="006B5DAC" w:rsidP="009F65E0">
      <w:pPr>
        <w:spacing w:before="240" w:after="240" w:line="360" w:lineRule="auto"/>
        <w:jc w:val="both"/>
        <w:rPr>
          <w:rFonts w:cs="Times New Roman"/>
          <w:color w:val="01367B" w:themeColor="accent1"/>
          <w:sz w:val="28"/>
          <w:szCs w:val="28"/>
          <w:lang w:val="bs-Latn-BA"/>
        </w:rPr>
      </w:pPr>
      <w:r w:rsidRPr="006B5DAC">
        <w:rPr>
          <w:rFonts w:cs="Times New Roman"/>
          <w:color w:val="01367B" w:themeColor="accent1"/>
          <w:sz w:val="28"/>
          <w:szCs w:val="28"/>
          <w:lang w:val="bs-Latn-BA"/>
        </w:rPr>
        <w:lastRenderedPageBreak/>
        <w:t xml:space="preserve">S proljetnim krugom makroekonomskih projekcija za </w:t>
      </w:r>
      <w:r w:rsidR="00043FE4">
        <w:rPr>
          <w:rFonts w:cs="Times New Roman"/>
          <w:color w:val="01367B" w:themeColor="accent1"/>
          <w:sz w:val="28"/>
          <w:szCs w:val="28"/>
          <w:lang w:val="bs-Latn-BA"/>
        </w:rPr>
        <w:t>razdoblje</w:t>
      </w:r>
      <w:r w:rsidRPr="006B5DAC">
        <w:rPr>
          <w:rFonts w:cs="Times New Roman"/>
          <w:color w:val="01367B" w:themeColor="accent1"/>
          <w:sz w:val="28"/>
          <w:szCs w:val="28"/>
          <w:lang w:val="bs-Latn-BA"/>
        </w:rPr>
        <w:t xml:space="preserve"> 202</w:t>
      </w:r>
      <w:r w:rsidR="00972FF4">
        <w:rPr>
          <w:rFonts w:cs="Times New Roman"/>
          <w:color w:val="01367B" w:themeColor="accent1"/>
          <w:sz w:val="28"/>
          <w:szCs w:val="28"/>
          <w:lang w:val="bs-Latn-BA"/>
        </w:rPr>
        <w:t>6</w:t>
      </w:r>
      <w:r w:rsidRPr="006B5DAC">
        <w:rPr>
          <w:rFonts w:cs="Times New Roman"/>
          <w:color w:val="01367B" w:themeColor="accent1"/>
          <w:sz w:val="28"/>
          <w:szCs w:val="28"/>
          <w:lang w:val="bs-Latn-BA"/>
        </w:rPr>
        <w:t xml:space="preserve"> – 202</w:t>
      </w:r>
      <w:r w:rsidR="00972FF4">
        <w:rPr>
          <w:rFonts w:cs="Times New Roman"/>
          <w:color w:val="01367B" w:themeColor="accent1"/>
          <w:sz w:val="28"/>
          <w:szCs w:val="28"/>
          <w:lang w:val="bs-Latn-BA"/>
        </w:rPr>
        <w:t>8</w:t>
      </w:r>
      <w:r w:rsidRPr="006B5DAC">
        <w:rPr>
          <w:rFonts w:cs="Times New Roman"/>
          <w:color w:val="01367B" w:themeColor="accent1"/>
          <w:sz w:val="28"/>
          <w:szCs w:val="28"/>
          <w:lang w:val="bs-Latn-BA"/>
        </w:rPr>
        <w:t>. godine, ekonomska aktivnost i inflacija za 202</w:t>
      </w:r>
      <w:r w:rsidR="00972FF4">
        <w:rPr>
          <w:rFonts w:cs="Times New Roman"/>
          <w:color w:val="01367B" w:themeColor="accent1"/>
          <w:sz w:val="28"/>
          <w:szCs w:val="28"/>
          <w:lang w:val="bs-Latn-BA"/>
        </w:rPr>
        <w:t>6</w:t>
      </w:r>
      <w:r w:rsidRPr="006B5DAC">
        <w:rPr>
          <w:rFonts w:cs="Times New Roman"/>
          <w:color w:val="01367B" w:themeColor="accent1"/>
          <w:sz w:val="28"/>
          <w:szCs w:val="28"/>
          <w:lang w:val="bs-Latn-BA"/>
        </w:rPr>
        <w:t xml:space="preserve">. godinu su revidirane u odnosu na </w:t>
      </w:r>
      <w:r w:rsidR="00972FF4">
        <w:rPr>
          <w:rFonts w:cs="Times New Roman"/>
          <w:color w:val="01367B" w:themeColor="accent1"/>
          <w:sz w:val="28"/>
          <w:szCs w:val="28"/>
          <w:lang w:val="bs-Latn-BA"/>
        </w:rPr>
        <w:t>prethodnu objavu iz listopada</w:t>
      </w:r>
    </w:p>
    <w:p w14:paraId="27848790" w14:textId="1D2F81DB" w:rsidR="00043FE4" w:rsidRPr="00331FF7" w:rsidRDefault="00043FE4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41C99119" w14:textId="504626B0" w:rsidR="009F65E0" w:rsidRPr="00331FF7" w:rsidRDefault="00972FF4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  <w:r w:rsidRPr="00331FF7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778F33" wp14:editId="60058686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181725" cy="4724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724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988A1" w14:textId="76FF56CE" w:rsidR="000A3297" w:rsidRDefault="000A3297" w:rsidP="000A3297">
                            <w:pPr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  <w:lang w:val="bs-Latn-BA" w:eastAsia="en-GB"/>
                              </w:rPr>
                            </w:pPr>
                            <w:r w:rsidRPr="002B74D6">
                              <w:rPr>
                                <w:i/>
                                <w:iCs/>
                                <w:sz w:val="24"/>
                                <w:szCs w:val="24"/>
                                <w:lang w:val="bs-Latn-BA" w:eastAsia="en-GB"/>
                              </w:rPr>
                              <w:t>Ključne poruke</w:t>
                            </w:r>
                            <w:r w:rsidR="00CE3E53">
                              <w:rPr>
                                <w:i/>
                                <w:iCs/>
                                <w:sz w:val="24"/>
                                <w:szCs w:val="24"/>
                                <w:lang w:val="bs-Latn-BA" w:eastAsia="en-GB"/>
                              </w:rPr>
                              <w:t>:</w:t>
                            </w:r>
                          </w:p>
                          <w:p w14:paraId="41C81AA5" w14:textId="583B68AC" w:rsidR="00972FF4" w:rsidRPr="00B43EA6" w:rsidRDefault="00972FF4" w:rsidP="00972FF4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>CBB</w:t>
                            </w: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>i</w:t>
                            </w: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 xml:space="preserve">H je u ovom krugu revidirala makroekonomske srednjoročne projekcije, poglavito uslijed globalnog energetskog šoka izazvanog eskalacijom sukoba na Bliskom istoku. Izražena volatilnost i povećanje cijena na tržištima nafte i prirodnog plina, praćena povećanom neizvjesnošću u pogledu globalne opskrbe, pojačali su  inflatorne i troškovne pritiske u međunarodnom i domaćem okruženju. </w:t>
                            </w:r>
                          </w:p>
                          <w:p w14:paraId="34B2FA05" w14:textId="77777777" w:rsidR="00972FF4" w:rsidRPr="00B43EA6" w:rsidRDefault="00972FF4" w:rsidP="00972FF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jc w:val="both"/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>Stopa inflacije je revidirana, na razinu od 4,7% u 2026. godini, kao posljedica pojačanih inflatornih pritisaka iz međunarodnog okruženja, uključujući rast cijena energenata na svjetskom tržištu i njihovo prelijevanje na rast domaćih cijena. Dodatno, domaći čimbenici, poput rasta troškovnih pritisaka u sektoru usluga, rast cijena električne energije, rast plaća,  doprinose zadržavanju inflacije na višoj razini u odnosu na prethodne projekcije.</w:t>
                            </w:r>
                          </w:p>
                          <w:p w14:paraId="512E4FA2" w14:textId="77777777" w:rsidR="00972FF4" w:rsidRPr="00B43EA6" w:rsidRDefault="00972FF4" w:rsidP="00972FF4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>Projekcija rasta ekonomske aktivnosti u BiH u 2026. godini je korigirana naniže, do razine od 1,9%, zbog slabljenja domaće i vanjske potražnje, koja se odražava kroz osobnu potrošnju, ulaganja, te uvoz i izvoz.</w:t>
                            </w:r>
                          </w:p>
                          <w:p w14:paraId="78B1CE11" w14:textId="77777777" w:rsidR="00972FF4" w:rsidRPr="00B43EA6" w:rsidRDefault="00972FF4" w:rsidP="00972FF4">
                            <w:pPr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>Nagli rast cijena nafte i prirodnog plina, koji je zabilježen  od početka ožujka tekuće godine, utječe na povećanje troškov</w:t>
                            </w: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sr-Cyrl-BA"/>
                              </w:rPr>
                              <w:t>а</w:t>
                            </w:r>
                            <w:r w:rsidRPr="00B43EA6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  <w:lang w:val="bs-Latn-BA"/>
                              </w:rPr>
                              <w:t xml:space="preserve"> proizvodnje i transporta, što se reflektira na pad profitabilnosti gospodarskih subjekata i slabljenje aktivnosti ulaganja. Istodobno, viši troškovi energenata smanjuju raspoloživi dohodak kućanstava, što dovodi do slabije privatne potrošnje. Kao rezultat, očekuje se sporija dinamika ekonomskog rasta u odnosu na prethodne projekcije.</w:t>
                            </w:r>
                          </w:p>
                          <w:p w14:paraId="7C4A1A87" w14:textId="77777777" w:rsidR="009F65E0" w:rsidRDefault="009F65E0" w:rsidP="009F65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78F33" id="Rectangle 1" o:spid="_x0000_s1028" style="position:absolute;left:0;text-align:left;margin-left:0;margin-top:28.35pt;width:486.75pt;height:37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" filled="f" strokecolor="#a5a5a5 [2092]">
                <v:stroke joinstyle="round"/>
                <v:textbox>
                  <w:txbxContent>
                    <w:p w14:paraId="5F8988A1" w14:textId="76FF56CE" w:rsidR="000A3297" w:rsidRDefault="000A3297" w:rsidP="000A3297">
                      <w:pPr>
                        <w:jc w:val="both"/>
                        <w:rPr>
                          <w:i/>
                          <w:iCs/>
                          <w:sz w:val="24"/>
                          <w:szCs w:val="24"/>
                          <w:lang w:val="bs-Latn-BA" w:eastAsia="en-GB"/>
                        </w:rPr>
                      </w:pPr>
                      <w:r w:rsidRPr="002B74D6">
                        <w:rPr>
                          <w:i/>
                          <w:iCs/>
                          <w:sz w:val="24"/>
                          <w:szCs w:val="24"/>
                          <w:lang w:val="bs-Latn-BA" w:eastAsia="en-GB"/>
                        </w:rPr>
                        <w:t>Ključne poruke</w:t>
                      </w:r>
                      <w:r w:rsidR="00CE3E53">
                        <w:rPr>
                          <w:i/>
                          <w:iCs/>
                          <w:sz w:val="24"/>
                          <w:szCs w:val="24"/>
                          <w:lang w:val="bs-Latn-BA" w:eastAsia="en-GB"/>
                        </w:rPr>
                        <w:t>:</w:t>
                      </w:r>
                    </w:p>
                    <w:p w14:paraId="41C81AA5" w14:textId="583B68AC" w:rsidR="00972FF4" w:rsidRPr="00B43EA6" w:rsidRDefault="00972FF4" w:rsidP="00972FF4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</w:pP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>CBB</w:t>
                      </w: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>i</w:t>
                      </w: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 xml:space="preserve">H je u ovom krugu revidirala makroekonomske srednjoročne projekcije, poglavito uslijed globalnog energetskog šoka izazvanog eskalacijom sukoba na Bliskom istoku. Izražena volatilnost i povećanje cijena na tržištima nafte i prirodnog plina, praćena povećanom neizvjesnošću u pogledu globalne opskrbe, pojačali su  inflatorne i troškovne pritiske u međunarodnom i domaćem okruženju. </w:t>
                      </w:r>
                    </w:p>
                    <w:p w14:paraId="34B2FA05" w14:textId="77777777" w:rsidR="00972FF4" w:rsidRPr="00B43EA6" w:rsidRDefault="00972FF4" w:rsidP="00972FF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spacing w:line="240" w:lineRule="auto"/>
                        <w:jc w:val="both"/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</w:pP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>Stopa inflacije je revidirana, na razinu od 4,7% u 2026. godini, kao posljedica pojačanih inflatornih pritisaka iz međunarodnog okruženja, uključujući rast cijena energenata na svjetskom tržištu i njihovo prelijevanje na rast domaćih cijena. Dodatno, domaći čimbenici, poput rasta troškovnih pritisaka u sektoru usluga, rast cijena električne energije, rast plaća,  doprinose zadržavanju inflacije na višoj razini u odnosu na prethodne projekcije.</w:t>
                      </w:r>
                    </w:p>
                    <w:p w14:paraId="512E4FA2" w14:textId="77777777" w:rsidR="00972FF4" w:rsidRPr="00B43EA6" w:rsidRDefault="00972FF4" w:rsidP="00972FF4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</w:pP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>Projekcija rasta ekonomske aktivnosti u BiH u 2026. godini je korigirana naniže, do razine od 1,9%, zbog slabljenja domaće i vanjske potražnje, koja se odražava kroz osobnu potrošnju, ulaganja, te uvoz i izvoz.</w:t>
                      </w:r>
                    </w:p>
                    <w:p w14:paraId="78B1CE11" w14:textId="77777777" w:rsidR="00972FF4" w:rsidRPr="00B43EA6" w:rsidRDefault="00972FF4" w:rsidP="00972FF4">
                      <w:pPr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</w:pP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>Nagli rast cijena nafte i prirodnog plina, koji je zabilježen  od početka ožujka tekuće godine, utječe na povećanje troškov</w:t>
                      </w: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sr-Cyrl-BA"/>
                        </w:rPr>
                        <w:t>а</w:t>
                      </w:r>
                      <w:r w:rsidRPr="00B43EA6">
                        <w:rPr>
                          <w:rFonts w:cs="Times New Roman"/>
                          <w:i/>
                          <w:sz w:val="24"/>
                          <w:szCs w:val="24"/>
                          <w:lang w:val="bs-Latn-BA"/>
                        </w:rPr>
                        <w:t xml:space="preserve"> proizvodnje i transporta, što se reflektira na pad profitabilnosti gospodarskih subjekata i slabljenje aktivnosti ulaganja. Istodobno, viši troškovi energenata smanjuju raspoloživi dohodak kućanstava, što dovodi do slabije privatne potrošnje. Kao rezultat, očekuje se sporija dinamika ekonomskog rasta u odnosu na prethodne projekcije.</w:t>
                      </w:r>
                    </w:p>
                    <w:p w14:paraId="7C4A1A87" w14:textId="77777777" w:rsidR="009F65E0" w:rsidRDefault="009F65E0" w:rsidP="009F65E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D85A46" w14:textId="2E3B3245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4ACA1066" w14:textId="3EB7E4D6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2198648B" w14:textId="77777777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5275F37B" w14:textId="77777777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3DC2F03A" w14:textId="77777777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1CC059B3" w14:textId="77777777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54AA180C" w14:textId="77777777" w:rsidR="009F65E0" w:rsidRPr="00331FF7" w:rsidRDefault="009F65E0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37189893" w14:textId="77777777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743C8D63" w14:textId="77777777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3D2DDDAF" w14:textId="77777777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0C4C4BB1" w14:textId="77777777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3E4DF7A0" w14:textId="711A5878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1AC0E94F" w14:textId="75C33CF5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5E068B39" w14:textId="2C5BB527" w:rsidR="000606AF" w:rsidRDefault="000606AF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55416106" w14:textId="77777777" w:rsidR="00896985" w:rsidRDefault="00896985" w:rsidP="009F65E0">
      <w:pPr>
        <w:spacing w:before="240" w:after="240" w:line="360" w:lineRule="auto"/>
        <w:jc w:val="both"/>
        <w:rPr>
          <w:rFonts w:eastAsia="Times New Roman" w:cs="Times New Roman"/>
          <w:sz w:val="24"/>
          <w:szCs w:val="24"/>
          <w:lang w:val="bs-Latn-BA" w:eastAsia="en-GB"/>
        </w:rPr>
      </w:pPr>
    </w:p>
    <w:p w14:paraId="0287FF60" w14:textId="77777777" w:rsidR="00972FF4" w:rsidRPr="00B36FEF" w:rsidRDefault="00972FF4" w:rsidP="00972FF4">
      <w:pPr>
        <w:tabs>
          <w:tab w:val="left" w:pos="142"/>
        </w:tabs>
        <w:spacing w:before="240" w:after="240" w:line="360" w:lineRule="auto"/>
        <w:ind w:left="142"/>
        <w:jc w:val="both"/>
        <w:rPr>
          <w:rFonts w:cs="Times New Roman"/>
          <w:sz w:val="24"/>
          <w:szCs w:val="24"/>
          <w:lang w:val="bs-Latn-BA"/>
        </w:rPr>
      </w:pPr>
      <w:r w:rsidRPr="00323A23">
        <w:rPr>
          <w:rFonts w:cs="Times New Roman"/>
          <w:sz w:val="24"/>
          <w:szCs w:val="24"/>
          <w:lang w:val="bs-Latn-BA"/>
        </w:rPr>
        <w:lastRenderedPageBreak/>
        <w:t>Central</w:t>
      </w:r>
      <w:r>
        <w:rPr>
          <w:rFonts w:cs="Times New Roman"/>
          <w:sz w:val="24"/>
          <w:szCs w:val="24"/>
          <w:lang w:val="bs-Latn-BA"/>
        </w:rPr>
        <w:t>n</w:t>
      </w:r>
      <w:r w:rsidRPr="00323A23">
        <w:rPr>
          <w:rFonts w:cs="Times New Roman"/>
          <w:sz w:val="24"/>
          <w:szCs w:val="24"/>
          <w:lang w:val="bs-Latn-BA"/>
        </w:rPr>
        <w:t xml:space="preserve">a banka Bosne i Hercegovine </w:t>
      </w:r>
      <w:r>
        <w:rPr>
          <w:rFonts w:cs="Times New Roman"/>
          <w:sz w:val="24"/>
          <w:szCs w:val="24"/>
          <w:lang w:val="bs-Latn-BA"/>
        </w:rPr>
        <w:t xml:space="preserve">(CBBiH) </w:t>
      </w:r>
      <w:r w:rsidRPr="00323A23">
        <w:rPr>
          <w:rFonts w:cs="Times New Roman"/>
          <w:sz w:val="24"/>
          <w:szCs w:val="24"/>
          <w:lang w:val="bs-Latn-BA"/>
        </w:rPr>
        <w:t>objavljuje projekcije ključnih makroe</w:t>
      </w:r>
      <w:r w:rsidRPr="00B36FEF">
        <w:rPr>
          <w:rFonts w:cs="Times New Roman"/>
          <w:sz w:val="24"/>
          <w:szCs w:val="24"/>
          <w:lang w:val="bs-Latn-BA"/>
        </w:rPr>
        <w:t xml:space="preserve">konomskih varijabli za </w:t>
      </w:r>
      <w:r>
        <w:rPr>
          <w:rFonts w:cs="Times New Roman"/>
          <w:sz w:val="24"/>
          <w:szCs w:val="24"/>
          <w:lang w:val="bs-Latn-BA"/>
        </w:rPr>
        <w:t>razdoblje</w:t>
      </w:r>
      <w:r w:rsidRPr="00B36FEF">
        <w:rPr>
          <w:rFonts w:cs="Times New Roman"/>
          <w:sz w:val="24"/>
          <w:szCs w:val="24"/>
          <w:lang w:val="bs-Latn-BA"/>
        </w:rPr>
        <w:t xml:space="preserve"> 2026</w:t>
      </w:r>
      <w:r>
        <w:rPr>
          <w:rFonts w:cs="Times New Roman"/>
          <w:sz w:val="24"/>
          <w:szCs w:val="24"/>
          <w:lang w:val="bs-Latn-BA"/>
        </w:rPr>
        <w:t>.</w:t>
      </w:r>
      <w:r w:rsidRPr="00B36FEF">
        <w:rPr>
          <w:rFonts w:cs="Times New Roman"/>
          <w:sz w:val="24"/>
          <w:szCs w:val="24"/>
          <w:lang w:val="bs-Latn-BA"/>
        </w:rPr>
        <w:t>-2028.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 xml:space="preserve">godina. </w:t>
      </w:r>
      <w:r w:rsidRPr="00FD3C45">
        <w:rPr>
          <w:rFonts w:cs="Times New Roman"/>
          <w:sz w:val="24"/>
          <w:szCs w:val="24"/>
          <w:lang w:val="bs-Latn-BA"/>
        </w:rPr>
        <w:t>Prethodno objavljene srednjoročne projekcije (</w:t>
      </w:r>
      <w:r>
        <w:rPr>
          <w:rFonts w:cs="Times New Roman"/>
          <w:sz w:val="24"/>
          <w:szCs w:val="24"/>
          <w:lang w:val="bs-Latn-BA"/>
        </w:rPr>
        <w:t>listopad</w:t>
      </w:r>
      <w:r w:rsidRPr="00FD3C45">
        <w:rPr>
          <w:rFonts w:cs="Times New Roman"/>
          <w:sz w:val="24"/>
          <w:szCs w:val="24"/>
          <w:lang w:val="bs-Latn-BA"/>
        </w:rPr>
        <w:t xml:space="preserve"> 2025. godine), za 2025. godinu, iznosile su 2,0% za realnu ekonomsku aktivnost i 4,1% za inflaciju, što je  gotovo identično kasnije objavljenim službenim poda</w:t>
      </w:r>
      <w:r>
        <w:rPr>
          <w:rFonts w:cs="Times New Roman"/>
          <w:sz w:val="24"/>
          <w:szCs w:val="24"/>
          <w:lang w:val="bs-Latn-BA"/>
        </w:rPr>
        <w:t>t</w:t>
      </w:r>
      <w:r w:rsidRPr="00FD3C45">
        <w:rPr>
          <w:rFonts w:cs="Times New Roman"/>
          <w:sz w:val="24"/>
          <w:szCs w:val="24"/>
          <w:lang w:val="bs-Latn-BA"/>
        </w:rPr>
        <w:t xml:space="preserve">cima (rast realnog BDP-a od 2,1% i inflacija 4,0%), iako smo </w:t>
      </w:r>
      <w:r>
        <w:rPr>
          <w:rFonts w:cs="Times New Roman"/>
          <w:sz w:val="24"/>
          <w:szCs w:val="24"/>
          <w:lang w:val="bs-Latn-BA"/>
        </w:rPr>
        <w:t xml:space="preserve">tada na </w:t>
      </w:r>
      <w:r w:rsidRPr="00B36FEF">
        <w:rPr>
          <w:rFonts w:cs="Times New Roman"/>
          <w:sz w:val="24"/>
          <w:szCs w:val="24"/>
          <w:lang w:val="bs-Latn-BA"/>
        </w:rPr>
        <w:t xml:space="preserve">raspolaganju imali samo službene podatke o BDP-u prema rashodnom obračunu zaključno s prvim </w:t>
      </w:r>
      <w:r>
        <w:rPr>
          <w:rFonts w:cs="Times New Roman"/>
          <w:sz w:val="24"/>
          <w:szCs w:val="24"/>
          <w:lang w:val="bs-Latn-BA"/>
        </w:rPr>
        <w:t>tromjesečjem</w:t>
      </w:r>
      <w:r w:rsidRPr="00B36FEF">
        <w:rPr>
          <w:rFonts w:cs="Times New Roman"/>
          <w:sz w:val="24"/>
          <w:szCs w:val="24"/>
          <w:lang w:val="bs-Latn-BA"/>
        </w:rPr>
        <w:t xml:space="preserve"> 2025.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>godine</w:t>
      </w:r>
      <w:r>
        <w:rPr>
          <w:rFonts w:cs="Times New Roman"/>
          <w:sz w:val="24"/>
          <w:szCs w:val="24"/>
          <w:lang w:val="bs-Latn-BA"/>
        </w:rPr>
        <w:t xml:space="preserve">. Naknadno su objavljene i </w:t>
      </w:r>
      <w:r w:rsidRPr="00B36FEF">
        <w:rPr>
          <w:rFonts w:cs="Times New Roman"/>
          <w:sz w:val="24"/>
          <w:szCs w:val="24"/>
          <w:lang w:val="bs-Latn-BA"/>
        </w:rPr>
        <w:t>značajne revizije</w:t>
      </w:r>
      <w:r>
        <w:rPr>
          <w:rFonts w:cs="Times New Roman"/>
          <w:sz w:val="24"/>
          <w:szCs w:val="24"/>
          <w:lang w:val="bs-Latn-BA"/>
        </w:rPr>
        <w:t xml:space="preserve"> zvaničnih</w:t>
      </w:r>
      <w:r w:rsidRPr="00B36FEF">
        <w:rPr>
          <w:rFonts w:cs="Times New Roman"/>
          <w:sz w:val="24"/>
          <w:szCs w:val="24"/>
          <w:lang w:val="bs-Latn-BA"/>
        </w:rPr>
        <w:t xml:space="preserve"> </w:t>
      </w:r>
      <w:r>
        <w:rPr>
          <w:rFonts w:cs="Times New Roman"/>
          <w:sz w:val="24"/>
          <w:szCs w:val="24"/>
          <w:lang w:val="bs-Latn-BA"/>
        </w:rPr>
        <w:t>podatka</w:t>
      </w:r>
      <w:r w:rsidRPr="00B36FEF">
        <w:rPr>
          <w:rStyle w:val="FootnoteReference"/>
          <w:rFonts w:cs="Times New Roman"/>
          <w:szCs w:val="24"/>
          <w:lang w:val="bs-Latn-BA"/>
        </w:rPr>
        <w:footnoteReference w:id="1"/>
      </w:r>
      <w:r w:rsidRPr="00B36FEF">
        <w:rPr>
          <w:rFonts w:cs="Times New Roman"/>
          <w:sz w:val="24"/>
          <w:szCs w:val="24"/>
          <w:lang w:val="bs-Latn-BA"/>
        </w:rPr>
        <w:t>. U odnosu na prethodni krug projekcija, vrijednosti svih ključnih makroekonomskih varijabl</w:t>
      </w:r>
      <w:r>
        <w:rPr>
          <w:rFonts w:cs="Times New Roman"/>
          <w:sz w:val="24"/>
          <w:szCs w:val="24"/>
          <w:lang w:val="bs-Latn-BA"/>
        </w:rPr>
        <w:t>i</w:t>
      </w:r>
      <w:r w:rsidRPr="00B36FEF">
        <w:rPr>
          <w:rFonts w:cs="Times New Roman"/>
          <w:sz w:val="24"/>
          <w:szCs w:val="24"/>
          <w:lang w:val="bs-Latn-BA"/>
        </w:rPr>
        <w:t xml:space="preserve"> su korig</w:t>
      </w:r>
      <w:r>
        <w:rPr>
          <w:rFonts w:cs="Times New Roman"/>
          <w:sz w:val="24"/>
          <w:szCs w:val="24"/>
          <w:lang w:val="bs-Latn-BA"/>
        </w:rPr>
        <w:t>ir</w:t>
      </w:r>
      <w:r w:rsidRPr="00B36FEF">
        <w:rPr>
          <w:rFonts w:cs="Times New Roman"/>
          <w:sz w:val="24"/>
          <w:szCs w:val="24"/>
          <w:lang w:val="bs-Latn-BA"/>
        </w:rPr>
        <w:t>ane za 2026. i 2027.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 xml:space="preserve">godinu, </w:t>
      </w:r>
      <w:r>
        <w:rPr>
          <w:rFonts w:cs="Times New Roman"/>
          <w:sz w:val="24"/>
          <w:szCs w:val="24"/>
          <w:lang w:val="bs-Latn-BA"/>
        </w:rPr>
        <w:t>poglavito</w:t>
      </w:r>
      <w:r w:rsidRPr="00B36FEF">
        <w:rPr>
          <w:rFonts w:cs="Times New Roman"/>
          <w:sz w:val="24"/>
          <w:szCs w:val="24"/>
          <w:lang w:val="bs-Latn-BA"/>
        </w:rPr>
        <w:t xml:space="preserve"> uslijed nepredviđenih okolnosti u međunarodnom okruženju</w:t>
      </w:r>
      <w:r>
        <w:rPr>
          <w:rFonts w:cs="Times New Roman"/>
          <w:sz w:val="24"/>
          <w:szCs w:val="24"/>
          <w:lang w:val="bs-Latn-BA"/>
        </w:rPr>
        <w:t xml:space="preserve"> s početka </w:t>
      </w:r>
      <w:r w:rsidRPr="00B36FEF">
        <w:rPr>
          <w:rFonts w:cs="Times New Roman"/>
          <w:sz w:val="24"/>
          <w:szCs w:val="24"/>
          <w:lang w:val="bs-Latn-BA"/>
        </w:rPr>
        <w:t>2026.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>godine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>(Tab</w:t>
      </w:r>
      <w:r>
        <w:rPr>
          <w:rFonts w:cs="Times New Roman"/>
          <w:sz w:val="24"/>
          <w:szCs w:val="24"/>
          <w:lang w:val="bs-Latn-BA"/>
        </w:rPr>
        <w:t>lica</w:t>
      </w:r>
      <w:r w:rsidRPr="00B36FEF">
        <w:rPr>
          <w:rFonts w:cs="Times New Roman"/>
          <w:sz w:val="24"/>
          <w:szCs w:val="24"/>
          <w:lang w:val="bs-Latn-BA"/>
        </w:rPr>
        <w:t xml:space="preserve"> 1). </w:t>
      </w:r>
    </w:p>
    <w:p w14:paraId="365CB89A" w14:textId="77777777" w:rsidR="00972FF4" w:rsidRPr="00B36FEF" w:rsidRDefault="00972FF4" w:rsidP="00972FF4">
      <w:pPr>
        <w:tabs>
          <w:tab w:val="left" w:pos="142"/>
        </w:tabs>
        <w:jc w:val="both"/>
        <w:rPr>
          <w:rFonts w:cs="Times New Roman"/>
          <w:sz w:val="24"/>
          <w:szCs w:val="24"/>
          <w:lang w:val="bs-Latn-BA"/>
        </w:rPr>
      </w:pPr>
    </w:p>
    <w:p w14:paraId="1E22C4AA" w14:textId="77777777" w:rsidR="00972FF4" w:rsidRPr="00B36FEF" w:rsidRDefault="00972FF4" w:rsidP="00972FF4">
      <w:pPr>
        <w:tabs>
          <w:tab w:val="left" w:pos="142"/>
        </w:tabs>
        <w:ind w:left="142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>Tab</w:t>
      </w:r>
      <w:r>
        <w:rPr>
          <w:rFonts w:cs="Times New Roman"/>
          <w:sz w:val="24"/>
          <w:szCs w:val="24"/>
          <w:lang w:val="bs-Latn-BA"/>
        </w:rPr>
        <w:t>lica</w:t>
      </w:r>
      <w:r w:rsidRPr="00B36FEF">
        <w:rPr>
          <w:rFonts w:cs="Times New Roman"/>
          <w:sz w:val="24"/>
          <w:szCs w:val="24"/>
          <w:lang w:val="bs-Latn-BA"/>
        </w:rPr>
        <w:t xml:space="preserve"> 1. Odabrani makroekonomski </w:t>
      </w:r>
      <w:r>
        <w:rPr>
          <w:rFonts w:cs="Times New Roman"/>
          <w:sz w:val="24"/>
          <w:szCs w:val="24"/>
          <w:lang w:val="bs-Latn-BA"/>
        </w:rPr>
        <w:t>pokazatelji</w:t>
      </w:r>
    </w:p>
    <w:p w14:paraId="136F7AD8" w14:textId="3F92884B" w:rsidR="00896985" w:rsidRDefault="00972FF4" w:rsidP="00896985">
      <w:pPr>
        <w:spacing w:line="360" w:lineRule="auto"/>
        <w:jc w:val="both"/>
        <w:rPr>
          <w:rFonts w:cs="Times New Roman"/>
          <w:sz w:val="24"/>
          <w:szCs w:val="24"/>
          <w:lang w:val="bs-Latn-BA"/>
        </w:rPr>
      </w:pPr>
      <w:r>
        <w:rPr>
          <w:noProof/>
        </w:rPr>
        <w:drawing>
          <wp:inline distT="0" distB="0" distL="0" distR="0" wp14:anchorId="7170022C" wp14:editId="23745F79">
            <wp:extent cx="5943600" cy="221960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1F8F" w14:textId="77777777" w:rsidR="00972FF4" w:rsidRPr="00B36FEF" w:rsidRDefault="00972FF4" w:rsidP="00972FF4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956A9">
        <w:rPr>
          <w:rFonts w:cs="Times New Roman"/>
          <w:sz w:val="24"/>
          <w:szCs w:val="24"/>
          <w:lang w:val="bs-Latn-BA"/>
        </w:rPr>
        <w:t>Napomena: Službeni poda</w:t>
      </w:r>
      <w:r>
        <w:rPr>
          <w:rFonts w:cs="Times New Roman"/>
          <w:sz w:val="24"/>
          <w:szCs w:val="24"/>
          <w:lang w:val="bs-Latn-BA"/>
        </w:rPr>
        <w:t>t</w:t>
      </w:r>
      <w:r w:rsidRPr="00B956A9">
        <w:rPr>
          <w:rFonts w:cs="Times New Roman"/>
          <w:sz w:val="24"/>
          <w:szCs w:val="24"/>
          <w:lang w:val="bs-Latn-BA"/>
        </w:rPr>
        <w:t xml:space="preserve">ci korišteni u </w:t>
      </w:r>
      <w:r>
        <w:rPr>
          <w:rFonts w:cs="Times New Roman"/>
          <w:sz w:val="24"/>
          <w:szCs w:val="24"/>
          <w:lang w:val="bs-Latn-BA"/>
        </w:rPr>
        <w:t>trenutku</w:t>
      </w:r>
      <w:r w:rsidRPr="00B956A9">
        <w:rPr>
          <w:rFonts w:cs="Times New Roman"/>
          <w:sz w:val="24"/>
          <w:szCs w:val="24"/>
          <w:lang w:val="bs-Latn-BA"/>
        </w:rPr>
        <w:t xml:space="preserve"> izrade projekcija su zaključno sa 6.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956A9">
        <w:rPr>
          <w:rFonts w:cs="Times New Roman"/>
          <w:sz w:val="24"/>
          <w:szCs w:val="24"/>
          <w:lang w:val="bs-Latn-BA"/>
        </w:rPr>
        <w:t>5.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956A9">
        <w:rPr>
          <w:rFonts w:cs="Times New Roman"/>
          <w:sz w:val="24"/>
          <w:szCs w:val="24"/>
          <w:lang w:val="bs-Latn-BA"/>
        </w:rPr>
        <w:t>2026. godine, a vanjske i tehničke pretpostavke za egzogene pretpostavke od ECB-a zaključene su 11.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956A9">
        <w:rPr>
          <w:rFonts w:cs="Times New Roman"/>
          <w:sz w:val="24"/>
          <w:szCs w:val="24"/>
          <w:lang w:val="bs-Latn-BA"/>
        </w:rPr>
        <w:t>3. 2026.</w:t>
      </w:r>
    </w:p>
    <w:p w14:paraId="552FF1BC" w14:textId="71858378" w:rsidR="00552375" w:rsidRDefault="00552375" w:rsidP="00552375">
      <w:pPr>
        <w:pStyle w:val="Heading1"/>
        <w:rPr>
          <w:lang w:val="bs-Latn-BA"/>
        </w:rPr>
      </w:pPr>
      <w:r w:rsidRPr="00FE0F48">
        <w:rPr>
          <w:lang w:val="bs-Latn-BA"/>
        </w:rPr>
        <w:t>Oček</w:t>
      </w:r>
      <w:r w:rsidR="00972FF4">
        <w:rPr>
          <w:lang w:val="bs-Latn-BA"/>
        </w:rPr>
        <w:t xml:space="preserve">ujemo kako će ekonomska aktivnost </w:t>
      </w:r>
      <w:r w:rsidRPr="00FE0F48">
        <w:rPr>
          <w:lang w:val="bs-Latn-BA"/>
        </w:rPr>
        <w:t>u 202</w:t>
      </w:r>
      <w:r w:rsidR="00972FF4">
        <w:rPr>
          <w:lang w:val="bs-Latn-BA"/>
        </w:rPr>
        <w:t>6</w:t>
      </w:r>
      <w:r w:rsidRPr="00FE0F48">
        <w:rPr>
          <w:lang w:val="bs-Latn-BA"/>
        </w:rPr>
        <w:t xml:space="preserve">. </w:t>
      </w:r>
      <w:r w:rsidR="00972FF4">
        <w:rPr>
          <w:lang w:val="bs-Latn-BA"/>
        </w:rPr>
        <w:t>godini ostati priličnno skromna</w:t>
      </w:r>
      <w:r w:rsidRPr="00FE0F48">
        <w:rPr>
          <w:lang w:val="bs-Latn-BA"/>
        </w:rPr>
        <w:t>,</w:t>
      </w:r>
      <w:r w:rsidR="00972FF4">
        <w:rPr>
          <w:lang w:val="bs-Latn-BA"/>
        </w:rPr>
        <w:t xml:space="preserve"> uz postupno i blago inten</w:t>
      </w:r>
      <w:r w:rsidR="00AE7ED0">
        <w:rPr>
          <w:lang w:val="bs-Latn-BA"/>
        </w:rPr>
        <w:t xml:space="preserve">ziviranje rasta tijekom </w:t>
      </w:r>
      <w:r w:rsidRPr="00FE0F48">
        <w:rPr>
          <w:lang w:val="bs-Latn-BA"/>
        </w:rPr>
        <w:t>projekcijsko</w:t>
      </w:r>
      <w:r w:rsidR="00AE7ED0">
        <w:rPr>
          <w:lang w:val="bs-Latn-BA"/>
        </w:rPr>
        <w:t>g</w:t>
      </w:r>
      <w:r w:rsidRPr="00FE0F48">
        <w:rPr>
          <w:lang w:val="bs-Latn-BA"/>
        </w:rPr>
        <w:t xml:space="preserve"> </w:t>
      </w:r>
      <w:r w:rsidR="00AE7ED0">
        <w:rPr>
          <w:lang w:val="bs-Latn-BA"/>
        </w:rPr>
        <w:t>razdoblja</w:t>
      </w:r>
    </w:p>
    <w:p w14:paraId="4695BFDD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836983">
        <w:rPr>
          <w:rFonts w:cs="Times New Roman"/>
          <w:sz w:val="24"/>
          <w:szCs w:val="24"/>
          <w:lang w:val="bs-Latn-BA"/>
        </w:rPr>
        <w:t xml:space="preserve">Makroekonomski izgledi značajno su promijenjeni uslijed energetskog šoka izazvanog </w:t>
      </w:r>
      <w:r>
        <w:rPr>
          <w:rFonts w:cs="Times New Roman"/>
          <w:sz w:val="24"/>
          <w:szCs w:val="24"/>
          <w:lang w:val="bs-Latn-BA"/>
        </w:rPr>
        <w:t>ratom</w:t>
      </w:r>
      <w:r w:rsidRPr="00836983">
        <w:rPr>
          <w:rFonts w:cs="Times New Roman"/>
          <w:sz w:val="24"/>
          <w:szCs w:val="24"/>
          <w:lang w:val="bs-Latn-BA"/>
        </w:rPr>
        <w:t xml:space="preserve"> na Bliskom istoku</w:t>
      </w:r>
      <w:r>
        <w:rPr>
          <w:rFonts w:cs="Times New Roman"/>
          <w:sz w:val="24"/>
          <w:szCs w:val="24"/>
          <w:lang w:val="bs-Latn-BA"/>
        </w:rPr>
        <w:t>,</w:t>
      </w:r>
      <w:r w:rsidRPr="00836983">
        <w:rPr>
          <w:rFonts w:cs="Times New Roman"/>
          <w:sz w:val="24"/>
          <w:szCs w:val="24"/>
          <w:lang w:val="bs-Latn-BA"/>
        </w:rPr>
        <w:t xml:space="preserve"> </w:t>
      </w:r>
      <w:r>
        <w:rPr>
          <w:rFonts w:cs="Times New Roman"/>
          <w:sz w:val="24"/>
          <w:szCs w:val="24"/>
          <w:lang w:val="bs-Latn-BA"/>
        </w:rPr>
        <w:t>i poremećajima na globalnim tržištima energenata. Nagli rast cijena nafte i plina doveo je do jačanja inflatornih pritisaka i slabljenja ekonomske aktivnosti na globalnoj razini. Sukladno tomu,  CBBH je u ovom krugu revidirala projekcije ključnih makroekonomskih pokazatelja. O</w:t>
      </w:r>
      <w:r w:rsidRPr="00B36FEF">
        <w:rPr>
          <w:rFonts w:cs="Times New Roman"/>
          <w:sz w:val="24"/>
          <w:szCs w:val="24"/>
          <w:lang w:val="bs-Latn-BA"/>
        </w:rPr>
        <w:t>čekuje</w:t>
      </w:r>
      <w:r>
        <w:rPr>
          <w:rFonts w:cs="Times New Roman"/>
          <w:sz w:val="24"/>
          <w:szCs w:val="24"/>
          <w:lang w:val="bs-Latn-BA"/>
        </w:rPr>
        <w:t>mo usporavanje</w:t>
      </w:r>
      <w:r w:rsidRPr="00B36FEF">
        <w:rPr>
          <w:rFonts w:cs="Times New Roman"/>
          <w:sz w:val="24"/>
          <w:szCs w:val="24"/>
          <w:lang w:val="bs-Latn-BA"/>
        </w:rPr>
        <w:t xml:space="preserve"> realn</w:t>
      </w:r>
      <w:r>
        <w:rPr>
          <w:rFonts w:cs="Times New Roman"/>
          <w:sz w:val="24"/>
          <w:szCs w:val="24"/>
          <w:lang w:val="bs-Latn-BA"/>
        </w:rPr>
        <w:t>og</w:t>
      </w:r>
      <w:r w:rsidRPr="00B36FEF">
        <w:rPr>
          <w:rFonts w:cs="Times New Roman"/>
          <w:sz w:val="24"/>
          <w:szCs w:val="24"/>
          <w:lang w:val="bs-Latn-BA"/>
        </w:rPr>
        <w:t xml:space="preserve"> rast</w:t>
      </w:r>
      <w:r>
        <w:rPr>
          <w:rFonts w:cs="Times New Roman"/>
          <w:sz w:val="24"/>
          <w:szCs w:val="24"/>
          <w:lang w:val="bs-Latn-BA"/>
        </w:rPr>
        <w:t>a</w:t>
      </w:r>
      <w:r w:rsidRPr="00B36FEF">
        <w:rPr>
          <w:rFonts w:cs="Times New Roman"/>
          <w:sz w:val="24"/>
          <w:szCs w:val="24"/>
          <w:lang w:val="bs-Latn-BA"/>
        </w:rPr>
        <w:t xml:space="preserve"> BDP-a </w:t>
      </w:r>
      <w:r>
        <w:rPr>
          <w:rFonts w:cs="Times New Roman"/>
          <w:sz w:val="24"/>
          <w:szCs w:val="24"/>
          <w:lang w:val="bs-Latn-BA"/>
        </w:rPr>
        <w:t>do razine od</w:t>
      </w:r>
      <w:r w:rsidRPr="00B36FEF">
        <w:rPr>
          <w:rFonts w:cs="Times New Roman"/>
          <w:sz w:val="24"/>
          <w:szCs w:val="24"/>
          <w:lang w:val="bs-Latn-BA"/>
        </w:rPr>
        <w:t xml:space="preserve"> 1,9% u 2026. godini, nakon ostvarenog rasta od 2,1% u 2025. godini. U narednim godinama očekuje se </w:t>
      </w:r>
      <w:r>
        <w:rPr>
          <w:rFonts w:cs="Times New Roman"/>
          <w:sz w:val="24"/>
          <w:szCs w:val="24"/>
          <w:lang w:val="bs-Latn-BA"/>
        </w:rPr>
        <w:t>postupni</w:t>
      </w:r>
      <w:r w:rsidRPr="00B36FEF">
        <w:rPr>
          <w:rFonts w:cs="Times New Roman"/>
          <w:sz w:val="24"/>
          <w:szCs w:val="24"/>
          <w:lang w:val="bs-Latn-BA"/>
        </w:rPr>
        <w:t xml:space="preserve"> oporavak ekonomske aktivnosti, uz rast realnog BDP-a od 3,3% u 2027. i 3,5% u 2028. godini. </w:t>
      </w:r>
    </w:p>
    <w:p w14:paraId="79EE4B76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 xml:space="preserve">Slabiji izgledi za rast u 2026. godini uglavnom proizlaze iz usporavanja domaće i vanjske potražnje, uz izraženu neizvjesnost u međunarodnom okruženju. </w:t>
      </w:r>
      <w:r>
        <w:rPr>
          <w:rFonts w:cs="Times New Roman"/>
          <w:sz w:val="24"/>
          <w:szCs w:val="24"/>
          <w:lang w:val="bs-Latn-BA"/>
        </w:rPr>
        <w:t>Osobna</w:t>
      </w:r>
      <w:r w:rsidRPr="00B36FEF">
        <w:rPr>
          <w:rFonts w:cs="Times New Roman"/>
          <w:sz w:val="24"/>
          <w:szCs w:val="24"/>
          <w:lang w:val="bs-Latn-BA"/>
        </w:rPr>
        <w:t xml:space="preserve"> potrošnja, kao najveća komponenta BDP-a, nastavlja rasti umjerenijim intenzitetom, pri čemu se njen realni rast procjenjuje na 2,2% u 2026. godini. Iako nominalne pla</w:t>
      </w:r>
      <w:r>
        <w:rPr>
          <w:rFonts w:cs="Times New Roman"/>
          <w:sz w:val="24"/>
          <w:szCs w:val="24"/>
          <w:lang w:val="bs-Latn-BA"/>
        </w:rPr>
        <w:t>ć</w:t>
      </w:r>
      <w:r w:rsidRPr="00B36FEF">
        <w:rPr>
          <w:rFonts w:cs="Times New Roman"/>
          <w:sz w:val="24"/>
          <w:szCs w:val="24"/>
          <w:lang w:val="bs-Latn-BA"/>
        </w:rPr>
        <w:t>e i dalje rastu, visoki troškovi života</w:t>
      </w:r>
      <w:r>
        <w:rPr>
          <w:rFonts w:cs="Times New Roman"/>
          <w:sz w:val="24"/>
          <w:szCs w:val="24"/>
          <w:lang w:val="bs-Latn-BA"/>
        </w:rPr>
        <w:t>, te</w:t>
      </w:r>
      <w:r w:rsidRPr="00B36FEF">
        <w:rPr>
          <w:rFonts w:cs="Times New Roman"/>
          <w:sz w:val="24"/>
          <w:szCs w:val="24"/>
          <w:lang w:val="bs-Latn-BA"/>
        </w:rPr>
        <w:t xml:space="preserve"> i dalje prisutni inflatorni pritisci ograničavaju rast raspoloživog dohotka i kupovne moći stanovništva. Posljedično, domaća potrošnja ostaje relativno </w:t>
      </w:r>
      <w:r>
        <w:rPr>
          <w:rFonts w:cs="Times New Roman"/>
          <w:sz w:val="24"/>
          <w:szCs w:val="24"/>
          <w:lang w:val="bs-Latn-BA"/>
        </w:rPr>
        <w:t>prigušena</w:t>
      </w:r>
      <w:r w:rsidRPr="00B36FEF">
        <w:rPr>
          <w:rFonts w:cs="Times New Roman"/>
          <w:sz w:val="24"/>
          <w:szCs w:val="24"/>
          <w:lang w:val="bs-Latn-BA"/>
        </w:rPr>
        <w:t xml:space="preserve">. Kretanja </w:t>
      </w:r>
      <w:r>
        <w:rPr>
          <w:rFonts w:cs="Times New Roman"/>
          <w:sz w:val="24"/>
          <w:szCs w:val="24"/>
          <w:lang w:val="bs-Latn-BA"/>
        </w:rPr>
        <w:t>ulaganja</w:t>
      </w:r>
      <w:r w:rsidRPr="00B36FEF">
        <w:rPr>
          <w:rFonts w:cs="Times New Roman"/>
          <w:sz w:val="24"/>
          <w:szCs w:val="24"/>
          <w:lang w:val="bs-Latn-BA"/>
        </w:rPr>
        <w:t xml:space="preserve"> i dalje su pod ut</w:t>
      </w:r>
      <w:r>
        <w:rPr>
          <w:rFonts w:cs="Times New Roman"/>
          <w:sz w:val="24"/>
          <w:szCs w:val="24"/>
          <w:lang w:val="bs-Latn-BA"/>
        </w:rPr>
        <w:t>je</w:t>
      </w:r>
      <w:r w:rsidRPr="00B36FEF">
        <w:rPr>
          <w:rFonts w:cs="Times New Roman"/>
          <w:sz w:val="24"/>
          <w:szCs w:val="24"/>
          <w:lang w:val="bs-Latn-BA"/>
        </w:rPr>
        <w:t>cajem promjena u zalihama, ali i pojačane neizvjesnosti koja ut</w:t>
      </w:r>
      <w:r>
        <w:rPr>
          <w:rFonts w:cs="Times New Roman"/>
          <w:sz w:val="24"/>
          <w:szCs w:val="24"/>
          <w:lang w:val="bs-Latn-BA"/>
        </w:rPr>
        <w:t>je</w:t>
      </w:r>
      <w:r w:rsidRPr="00B36FEF">
        <w:rPr>
          <w:rFonts w:cs="Times New Roman"/>
          <w:sz w:val="24"/>
          <w:szCs w:val="24"/>
          <w:lang w:val="bs-Latn-BA"/>
        </w:rPr>
        <w:t>če na odluke</w:t>
      </w:r>
      <w:r>
        <w:rPr>
          <w:rFonts w:cs="Times New Roman"/>
          <w:sz w:val="24"/>
          <w:szCs w:val="24"/>
          <w:lang w:val="bs-Latn-BA"/>
        </w:rPr>
        <w:t xml:space="preserve"> o ulaganju</w:t>
      </w:r>
      <w:r w:rsidRPr="00B36FEF">
        <w:rPr>
          <w:rFonts w:cs="Times New Roman"/>
          <w:sz w:val="24"/>
          <w:szCs w:val="24"/>
          <w:lang w:val="bs-Latn-BA"/>
        </w:rPr>
        <w:t xml:space="preserve"> privatnog sektora. </w:t>
      </w:r>
      <w:r>
        <w:rPr>
          <w:rFonts w:cs="Times New Roman"/>
          <w:sz w:val="24"/>
          <w:szCs w:val="24"/>
          <w:lang w:val="bs-Latn-BA"/>
        </w:rPr>
        <w:t>Sukladno tomu,</w:t>
      </w:r>
      <w:r w:rsidRPr="00B36FEF">
        <w:rPr>
          <w:rFonts w:cs="Times New Roman"/>
          <w:sz w:val="24"/>
          <w:szCs w:val="24"/>
          <w:lang w:val="bs-Latn-BA"/>
        </w:rPr>
        <w:t xml:space="preserve"> projiciramo vrlo skroman rast </w:t>
      </w:r>
      <w:r>
        <w:rPr>
          <w:rFonts w:cs="Times New Roman"/>
          <w:sz w:val="24"/>
          <w:szCs w:val="24"/>
          <w:lang w:val="bs-Latn-BA"/>
        </w:rPr>
        <w:t>ulaganja</w:t>
      </w:r>
      <w:r w:rsidRPr="00B36FEF">
        <w:rPr>
          <w:rFonts w:cs="Times New Roman"/>
          <w:sz w:val="24"/>
          <w:szCs w:val="24"/>
          <w:lang w:val="bs-Latn-BA"/>
        </w:rPr>
        <w:t xml:space="preserve"> od 2,1%  u 2026. godini, a nakon toga post</w:t>
      </w:r>
      <w:r>
        <w:rPr>
          <w:rFonts w:cs="Times New Roman"/>
          <w:sz w:val="24"/>
          <w:szCs w:val="24"/>
          <w:lang w:val="bs-Latn-BA"/>
        </w:rPr>
        <w:t>upan</w:t>
      </w:r>
      <w:r w:rsidRPr="00B36FEF">
        <w:rPr>
          <w:rFonts w:cs="Times New Roman"/>
          <w:sz w:val="24"/>
          <w:szCs w:val="24"/>
          <w:lang w:val="bs-Latn-BA"/>
        </w:rPr>
        <w:t xml:space="preserve"> rast do kraja projekcijskog </w:t>
      </w:r>
      <w:r>
        <w:rPr>
          <w:rFonts w:cs="Times New Roman"/>
          <w:sz w:val="24"/>
          <w:szCs w:val="24"/>
          <w:lang w:val="bs-Latn-BA"/>
        </w:rPr>
        <w:t>razdoblja</w:t>
      </w:r>
      <w:r w:rsidRPr="00B36FEF">
        <w:rPr>
          <w:rFonts w:cs="Times New Roman"/>
          <w:sz w:val="24"/>
          <w:szCs w:val="24"/>
          <w:lang w:val="bs-Latn-BA"/>
        </w:rPr>
        <w:t xml:space="preserve">. </w:t>
      </w:r>
    </w:p>
    <w:p w14:paraId="45D1E753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>D</w:t>
      </w:r>
      <w:r w:rsidRPr="00101E27">
        <w:rPr>
          <w:rFonts w:cs="Times New Roman"/>
          <w:sz w:val="24"/>
          <w:szCs w:val="24"/>
          <w:lang w:val="bs-Latn-BA"/>
        </w:rPr>
        <w:t>oprinos neto izvoza ekonomskom rastu ostaje ograničen usl</w:t>
      </w:r>
      <w:r>
        <w:rPr>
          <w:rFonts w:cs="Times New Roman"/>
          <w:sz w:val="24"/>
          <w:szCs w:val="24"/>
          <w:lang w:val="bs-Latn-BA"/>
        </w:rPr>
        <w:t>i</w:t>
      </w:r>
      <w:r w:rsidRPr="00101E27">
        <w:rPr>
          <w:rFonts w:cs="Times New Roman"/>
          <w:sz w:val="24"/>
          <w:szCs w:val="24"/>
          <w:lang w:val="bs-Latn-BA"/>
        </w:rPr>
        <w:t>jed i dalje slabe eksterne potražnje, poseb</w:t>
      </w:r>
      <w:r>
        <w:rPr>
          <w:rFonts w:cs="Times New Roman"/>
          <w:sz w:val="24"/>
          <w:szCs w:val="24"/>
          <w:lang w:val="bs-Latn-BA"/>
        </w:rPr>
        <w:t>ice</w:t>
      </w:r>
      <w:r w:rsidRPr="00101E27">
        <w:rPr>
          <w:rFonts w:cs="Times New Roman"/>
          <w:sz w:val="24"/>
          <w:szCs w:val="24"/>
          <w:lang w:val="bs-Latn-BA"/>
        </w:rPr>
        <w:t xml:space="preserve"> iz ključnih trgovinskih partnera iz eurozone. Dodatno, usporavanje turističke aktivnosti i manji pril</w:t>
      </w:r>
      <w:r>
        <w:rPr>
          <w:rFonts w:cs="Times New Roman"/>
          <w:sz w:val="24"/>
          <w:szCs w:val="24"/>
          <w:lang w:val="bs-Latn-BA"/>
        </w:rPr>
        <w:t>je</w:t>
      </w:r>
      <w:r w:rsidRPr="00101E27">
        <w:rPr>
          <w:rFonts w:cs="Times New Roman"/>
          <w:sz w:val="24"/>
          <w:szCs w:val="24"/>
          <w:lang w:val="bs-Latn-BA"/>
        </w:rPr>
        <w:t xml:space="preserve">vi </w:t>
      </w:r>
      <w:r>
        <w:rPr>
          <w:rFonts w:cs="Times New Roman"/>
          <w:sz w:val="24"/>
          <w:szCs w:val="24"/>
          <w:lang w:val="bs-Latn-BA"/>
        </w:rPr>
        <w:t>inozemnih</w:t>
      </w:r>
      <w:r w:rsidRPr="00101E27">
        <w:rPr>
          <w:rFonts w:cs="Times New Roman"/>
          <w:sz w:val="24"/>
          <w:szCs w:val="24"/>
          <w:lang w:val="bs-Latn-BA"/>
        </w:rPr>
        <w:t xml:space="preserve"> gostiju negativno ut</w:t>
      </w:r>
      <w:r>
        <w:rPr>
          <w:rFonts w:cs="Times New Roman"/>
          <w:sz w:val="24"/>
          <w:szCs w:val="24"/>
          <w:lang w:val="bs-Latn-BA"/>
        </w:rPr>
        <w:t>je</w:t>
      </w:r>
      <w:r w:rsidRPr="00101E27">
        <w:rPr>
          <w:rFonts w:cs="Times New Roman"/>
          <w:sz w:val="24"/>
          <w:szCs w:val="24"/>
          <w:lang w:val="bs-Latn-BA"/>
        </w:rPr>
        <w:t xml:space="preserve">ču na izvoz usluga, </w:t>
      </w:r>
      <w:r>
        <w:rPr>
          <w:rFonts w:cs="Times New Roman"/>
          <w:sz w:val="24"/>
          <w:szCs w:val="24"/>
          <w:lang w:val="bs-Latn-BA"/>
        </w:rPr>
        <w:t xml:space="preserve">te i u </w:t>
      </w:r>
      <w:r w:rsidRPr="00101E27">
        <w:rPr>
          <w:rFonts w:cs="Times New Roman"/>
          <w:sz w:val="24"/>
          <w:szCs w:val="24"/>
          <w:lang w:val="bs-Latn-BA"/>
        </w:rPr>
        <w:t xml:space="preserve">segmentima vezanim </w:t>
      </w:r>
      <w:r>
        <w:rPr>
          <w:rFonts w:cs="Times New Roman"/>
          <w:sz w:val="24"/>
          <w:szCs w:val="24"/>
          <w:lang w:val="bs-Latn-BA"/>
        </w:rPr>
        <w:t>uz</w:t>
      </w:r>
      <w:r w:rsidRPr="00101E27">
        <w:rPr>
          <w:rFonts w:cs="Times New Roman"/>
          <w:sz w:val="24"/>
          <w:szCs w:val="24"/>
          <w:lang w:val="bs-Latn-BA"/>
        </w:rPr>
        <w:t xml:space="preserve"> turizam.</w:t>
      </w:r>
      <w:r w:rsidRPr="00B36FEF">
        <w:rPr>
          <w:rFonts w:cs="Times New Roman"/>
          <w:sz w:val="24"/>
          <w:szCs w:val="24"/>
          <w:lang w:val="bs-Latn-BA"/>
        </w:rPr>
        <w:t xml:space="preserve"> </w:t>
      </w:r>
      <w:r>
        <w:rPr>
          <w:rFonts w:cs="Times New Roman"/>
          <w:sz w:val="24"/>
          <w:szCs w:val="24"/>
          <w:lang w:val="bs-Latn-BA"/>
        </w:rPr>
        <w:t xml:space="preserve">Posljedično, </w:t>
      </w:r>
      <w:r w:rsidRPr="00B36FEF">
        <w:rPr>
          <w:rFonts w:cs="Times New Roman"/>
          <w:sz w:val="24"/>
          <w:szCs w:val="24"/>
          <w:lang w:val="bs-Latn-BA"/>
        </w:rPr>
        <w:t>rast uvoza i izvoza roba i usluga projiciramo blago iznad 3% u 2026.</w:t>
      </w:r>
      <w:r>
        <w:rPr>
          <w:rFonts w:cs="Times New Roman"/>
          <w:sz w:val="24"/>
          <w:szCs w:val="24"/>
          <w:lang w:val="bs-Latn-BA"/>
        </w:rPr>
        <w:t xml:space="preserve"> </w:t>
      </w:r>
      <w:r w:rsidRPr="00B36FEF">
        <w:rPr>
          <w:rFonts w:cs="Times New Roman"/>
          <w:sz w:val="24"/>
          <w:szCs w:val="24"/>
          <w:lang w:val="bs-Latn-BA"/>
        </w:rPr>
        <w:t>godini, uz post</w:t>
      </w:r>
      <w:r>
        <w:rPr>
          <w:rFonts w:cs="Times New Roman"/>
          <w:sz w:val="24"/>
          <w:szCs w:val="24"/>
          <w:lang w:val="bs-Latn-BA"/>
        </w:rPr>
        <w:t>upno</w:t>
      </w:r>
      <w:r w:rsidRPr="00B36FEF">
        <w:rPr>
          <w:rFonts w:cs="Times New Roman"/>
          <w:sz w:val="24"/>
          <w:szCs w:val="24"/>
          <w:lang w:val="bs-Latn-BA"/>
        </w:rPr>
        <w:t xml:space="preserve"> intenziviranje u narednom </w:t>
      </w:r>
      <w:r>
        <w:rPr>
          <w:rFonts w:cs="Times New Roman"/>
          <w:sz w:val="24"/>
          <w:szCs w:val="24"/>
          <w:lang w:val="bs-Latn-BA"/>
        </w:rPr>
        <w:t>razdoblju</w:t>
      </w:r>
      <w:r w:rsidRPr="00B36FEF">
        <w:rPr>
          <w:rFonts w:cs="Times New Roman"/>
          <w:sz w:val="24"/>
          <w:szCs w:val="24"/>
          <w:lang w:val="bs-Latn-BA"/>
        </w:rPr>
        <w:t>.</w:t>
      </w:r>
    </w:p>
    <w:p w14:paraId="20A445ED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 xml:space="preserve">Rizici za projekcije ekonomskog rasta ocjenjuju se kao pretežno negativni. Oni se </w:t>
      </w:r>
      <w:r>
        <w:rPr>
          <w:rFonts w:cs="Times New Roman"/>
          <w:sz w:val="24"/>
          <w:szCs w:val="24"/>
          <w:lang w:val="bs-Latn-BA"/>
        </w:rPr>
        <w:t>poglavito</w:t>
      </w:r>
      <w:r w:rsidRPr="00B36FEF">
        <w:rPr>
          <w:rFonts w:cs="Times New Roman"/>
          <w:sz w:val="24"/>
          <w:szCs w:val="24"/>
          <w:lang w:val="bs-Latn-BA"/>
        </w:rPr>
        <w:t xml:space="preserve"> odnose na moguće dalj</w:t>
      </w:r>
      <w:r>
        <w:rPr>
          <w:rFonts w:cs="Times New Roman"/>
          <w:sz w:val="24"/>
          <w:szCs w:val="24"/>
          <w:lang w:val="bs-Latn-BA"/>
        </w:rPr>
        <w:t>nj</w:t>
      </w:r>
      <w:r w:rsidRPr="00B36FEF">
        <w:rPr>
          <w:rFonts w:cs="Times New Roman"/>
          <w:sz w:val="24"/>
          <w:szCs w:val="24"/>
          <w:lang w:val="bs-Latn-BA"/>
        </w:rPr>
        <w:t>e pogoršanje geopolitičkih tenzija, produžene pritiske na cijene energenata i sirovina, kao i sporiji oporavak ekonomske aktivnosti u zemljama glavnim trgovinskim partnerima. S druge strane, potencijalni pozitivan efekat na srednjoročni rast mogao bi proisteći iz ubrzanja procesa e</w:t>
      </w:r>
      <w:r>
        <w:rPr>
          <w:rFonts w:cs="Times New Roman"/>
          <w:sz w:val="24"/>
          <w:szCs w:val="24"/>
          <w:lang w:val="bs-Latn-BA"/>
        </w:rPr>
        <w:t>u</w:t>
      </w:r>
      <w:r w:rsidRPr="00B36FEF">
        <w:rPr>
          <w:rFonts w:cs="Times New Roman"/>
          <w:sz w:val="24"/>
          <w:szCs w:val="24"/>
          <w:lang w:val="bs-Latn-BA"/>
        </w:rPr>
        <w:t>ropskih integracija</w:t>
      </w:r>
      <w:r>
        <w:rPr>
          <w:rFonts w:cs="Times New Roman"/>
          <w:sz w:val="24"/>
          <w:szCs w:val="24"/>
          <w:lang w:val="bs-Latn-BA"/>
        </w:rPr>
        <w:t xml:space="preserve"> i </w:t>
      </w:r>
      <w:r w:rsidRPr="00B36FEF">
        <w:rPr>
          <w:rFonts w:cs="Times New Roman"/>
          <w:sz w:val="24"/>
          <w:szCs w:val="24"/>
          <w:lang w:val="bs-Latn-BA"/>
        </w:rPr>
        <w:t xml:space="preserve"> jačanja investici</w:t>
      </w:r>
      <w:r>
        <w:rPr>
          <w:rFonts w:cs="Times New Roman"/>
          <w:sz w:val="24"/>
          <w:szCs w:val="24"/>
          <w:lang w:val="bs-Latn-BA"/>
        </w:rPr>
        <w:t>jske</w:t>
      </w:r>
      <w:r w:rsidRPr="00B36FEF">
        <w:rPr>
          <w:rFonts w:cs="Times New Roman"/>
          <w:sz w:val="24"/>
          <w:szCs w:val="24"/>
          <w:lang w:val="bs-Latn-BA"/>
        </w:rPr>
        <w:t xml:space="preserve"> aktivnosti</w:t>
      </w:r>
      <w:r>
        <w:rPr>
          <w:rFonts w:cs="Times New Roman"/>
          <w:sz w:val="24"/>
          <w:szCs w:val="24"/>
          <w:lang w:val="bs-Latn-BA"/>
        </w:rPr>
        <w:t xml:space="preserve">. </w:t>
      </w:r>
      <w:r w:rsidRPr="00B36FEF">
        <w:rPr>
          <w:rFonts w:cs="Times New Roman"/>
          <w:sz w:val="24"/>
          <w:szCs w:val="24"/>
          <w:lang w:val="bs-Latn-BA"/>
        </w:rPr>
        <w:t xml:space="preserve"> </w:t>
      </w:r>
    </w:p>
    <w:p w14:paraId="489C87FE" w14:textId="3257467A" w:rsidR="0066678E" w:rsidRDefault="0066678E" w:rsidP="0066678E">
      <w:pPr>
        <w:pStyle w:val="Heading1"/>
        <w:rPr>
          <w:lang w:val="bs-Latn-BA"/>
        </w:rPr>
      </w:pPr>
      <w:r w:rsidRPr="00FE0F48">
        <w:rPr>
          <w:lang w:val="bs-Latn-BA"/>
        </w:rPr>
        <w:t>Inflacija za 202</w:t>
      </w:r>
      <w:r w:rsidR="00AE7ED0">
        <w:rPr>
          <w:lang w:val="bs-Latn-BA"/>
        </w:rPr>
        <w:t>6</w:t>
      </w:r>
      <w:r w:rsidRPr="00FE0F48">
        <w:rPr>
          <w:lang w:val="bs-Latn-BA"/>
        </w:rPr>
        <w:t xml:space="preserve">. godinu je revidirana naviše, do </w:t>
      </w:r>
      <w:r>
        <w:rPr>
          <w:lang w:val="bs-Latn-BA"/>
        </w:rPr>
        <w:t>razine</w:t>
      </w:r>
      <w:r w:rsidRPr="00FE0F48">
        <w:rPr>
          <w:lang w:val="bs-Latn-BA"/>
        </w:rPr>
        <w:t xml:space="preserve"> od </w:t>
      </w:r>
      <w:r w:rsidR="00AE7ED0">
        <w:rPr>
          <w:lang w:val="bs-Latn-BA"/>
        </w:rPr>
        <w:t>4,7</w:t>
      </w:r>
      <w:r w:rsidRPr="00FE0F48">
        <w:rPr>
          <w:lang w:val="bs-Latn-BA"/>
        </w:rPr>
        <w:t>%</w:t>
      </w:r>
    </w:p>
    <w:p w14:paraId="65CA8FF8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 xml:space="preserve">Nakon što su SAD i Izrael pokrenule napad na Iran krajem </w:t>
      </w:r>
      <w:r>
        <w:rPr>
          <w:rFonts w:cs="Times New Roman"/>
          <w:sz w:val="24"/>
          <w:szCs w:val="24"/>
          <w:lang w:val="bs-Latn-BA"/>
        </w:rPr>
        <w:t>veljače</w:t>
      </w:r>
      <w:r w:rsidRPr="00B36FEF">
        <w:rPr>
          <w:rFonts w:cs="Times New Roman"/>
          <w:sz w:val="24"/>
          <w:szCs w:val="24"/>
          <w:lang w:val="bs-Latn-BA"/>
        </w:rPr>
        <w:t xml:space="preserve"> 2026. godine, negativni rizici za globalne ekonomske izglede dodatno su se intenzivirali. Eskalacija sukoba dovela je do izražene volatilnosti na globalnim energetskim tržištima, rasta cijena nafte i prirodnog plina, kao i povećane neizvjesnosti na međunarodnim tržištima. Rast cijena energenata na svjetskom tržištu ubrzo se prelio na rast maloprodajnih cijena naftnih derivata na domaćem tržištu, što se dalje reflekt</w:t>
      </w:r>
      <w:r>
        <w:rPr>
          <w:rFonts w:cs="Times New Roman"/>
          <w:sz w:val="24"/>
          <w:szCs w:val="24"/>
          <w:lang w:val="bs-Latn-BA"/>
        </w:rPr>
        <w:t>ira</w:t>
      </w:r>
      <w:r w:rsidRPr="00B36FEF">
        <w:rPr>
          <w:rFonts w:cs="Times New Roman"/>
          <w:sz w:val="24"/>
          <w:szCs w:val="24"/>
          <w:lang w:val="bs-Latn-BA"/>
        </w:rPr>
        <w:t xml:space="preserve"> i na ostale robe i usluge. Ukupna inflacija u BiH, mjerena indeksom potrošačkih cijena, već u</w:t>
      </w:r>
      <w:r>
        <w:rPr>
          <w:rFonts w:cs="Times New Roman"/>
          <w:sz w:val="24"/>
          <w:szCs w:val="24"/>
          <w:lang w:val="bs-Latn-BA"/>
        </w:rPr>
        <w:t xml:space="preserve"> ožujku</w:t>
      </w:r>
      <w:r w:rsidRPr="00B36FEF">
        <w:rPr>
          <w:rFonts w:cs="Times New Roman"/>
          <w:sz w:val="24"/>
          <w:szCs w:val="24"/>
          <w:lang w:val="bs-Latn-BA"/>
        </w:rPr>
        <w:t xml:space="preserve"> 2026. godine iznosila je 5</w:t>
      </w:r>
      <w:r>
        <w:rPr>
          <w:rFonts w:cs="Times New Roman"/>
          <w:sz w:val="24"/>
          <w:szCs w:val="24"/>
          <w:lang w:val="bs-Latn-BA"/>
        </w:rPr>
        <w:t>,1</w:t>
      </w:r>
      <w:r w:rsidRPr="00B36FEF">
        <w:rPr>
          <w:rFonts w:cs="Times New Roman"/>
          <w:sz w:val="24"/>
          <w:szCs w:val="24"/>
          <w:lang w:val="bs-Latn-BA"/>
        </w:rPr>
        <w:t xml:space="preserve">%. </w:t>
      </w:r>
      <w:r>
        <w:rPr>
          <w:rFonts w:cs="Times New Roman"/>
          <w:sz w:val="24"/>
          <w:szCs w:val="24"/>
          <w:lang w:val="bs-Latn-BA"/>
        </w:rPr>
        <w:t>Sukladno</w:t>
      </w:r>
      <w:r w:rsidRPr="00B36FEF">
        <w:rPr>
          <w:rFonts w:cs="Times New Roman"/>
          <w:sz w:val="24"/>
          <w:szCs w:val="24"/>
          <w:lang w:val="bs-Latn-BA"/>
        </w:rPr>
        <w:t xml:space="preserve"> tim kretanjima, projekcij</w:t>
      </w:r>
      <w:r>
        <w:rPr>
          <w:rFonts w:cs="Times New Roman"/>
          <w:sz w:val="24"/>
          <w:szCs w:val="24"/>
          <w:lang w:val="bs-Latn-BA"/>
        </w:rPr>
        <w:t>a</w:t>
      </w:r>
      <w:r w:rsidRPr="00B36FEF">
        <w:rPr>
          <w:rFonts w:cs="Times New Roman"/>
          <w:sz w:val="24"/>
          <w:szCs w:val="24"/>
          <w:lang w:val="bs-Latn-BA"/>
        </w:rPr>
        <w:t xml:space="preserve"> inflacije za 2026. godinu revidirana je naviše, </w:t>
      </w:r>
      <w:r>
        <w:rPr>
          <w:rFonts w:cs="Times New Roman"/>
          <w:sz w:val="24"/>
          <w:szCs w:val="24"/>
          <w:lang w:val="bs-Latn-BA"/>
        </w:rPr>
        <w:t>do razine od</w:t>
      </w:r>
      <w:r w:rsidRPr="00B36FEF">
        <w:rPr>
          <w:rFonts w:cs="Times New Roman"/>
          <w:sz w:val="24"/>
          <w:szCs w:val="24"/>
          <w:lang w:val="bs-Latn-BA"/>
        </w:rPr>
        <w:t xml:space="preserve"> 4,7%. </w:t>
      </w:r>
    </w:p>
    <w:p w14:paraId="27021BCD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>U projekcijskom horizontu dinamika kretanja stope inflacija je pod snažnim ut</w:t>
      </w:r>
      <w:r>
        <w:rPr>
          <w:rFonts w:cs="Times New Roman"/>
          <w:sz w:val="24"/>
          <w:szCs w:val="24"/>
          <w:lang w:val="bs-Latn-BA"/>
        </w:rPr>
        <w:t>je</w:t>
      </w:r>
      <w:r w:rsidRPr="00B36FEF">
        <w:rPr>
          <w:rFonts w:cs="Times New Roman"/>
          <w:sz w:val="24"/>
          <w:szCs w:val="24"/>
          <w:lang w:val="bs-Latn-BA"/>
        </w:rPr>
        <w:t xml:space="preserve">cajem eksternih </w:t>
      </w:r>
      <w:r>
        <w:rPr>
          <w:rFonts w:cs="Times New Roman"/>
          <w:sz w:val="24"/>
          <w:szCs w:val="24"/>
          <w:lang w:val="bs-Latn-BA"/>
        </w:rPr>
        <w:t>čimbenika</w:t>
      </w:r>
      <w:r w:rsidRPr="00B36FEF">
        <w:rPr>
          <w:rFonts w:cs="Times New Roman"/>
          <w:sz w:val="24"/>
          <w:szCs w:val="24"/>
          <w:lang w:val="bs-Latn-BA"/>
        </w:rPr>
        <w:t xml:space="preserve">, ali </w:t>
      </w:r>
      <w:r>
        <w:rPr>
          <w:rFonts w:cs="Times New Roman"/>
          <w:sz w:val="24"/>
          <w:szCs w:val="24"/>
          <w:lang w:val="bs-Latn-BA"/>
        </w:rPr>
        <w:t>i</w:t>
      </w:r>
      <w:r w:rsidRPr="00B36FEF">
        <w:rPr>
          <w:rFonts w:cs="Times New Roman"/>
          <w:sz w:val="24"/>
          <w:szCs w:val="24"/>
          <w:lang w:val="bs-Latn-BA"/>
        </w:rPr>
        <w:t xml:space="preserve"> pod utjecajem i domaćih </w:t>
      </w:r>
      <w:r>
        <w:rPr>
          <w:rFonts w:cs="Times New Roman"/>
          <w:sz w:val="24"/>
          <w:szCs w:val="24"/>
          <w:lang w:val="bs-Latn-BA"/>
        </w:rPr>
        <w:t>čimbenika</w:t>
      </w:r>
      <w:r w:rsidRPr="00B36FEF">
        <w:rPr>
          <w:rFonts w:cs="Times New Roman"/>
          <w:sz w:val="24"/>
          <w:szCs w:val="24"/>
          <w:lang w:val="bs-Latn-BA"/>
        </w:rPr>
        <w:t>, iako oni u osnovi djeluju umjerenije u odnosu na eksterne pritiske. Iz domaćeg okruženja, potencijalni inflatorni pritisci proizlaze s  tržišta rada, rastom pla</w:t>
      </w:r>
      <w:r>
        <w:rPr>
          <w:rFonts w:cs="Times New Roman"/>
          <w:sz w:val="24"/>
          <w:szCs w:val="24"/>
          <w:lang w:val="bs-Latn-BA"/>
        </w:rPr>
        <w:t>ć</w:t>
      </w:r>
      <w:r w:rsidRPr="00B36FEF">
        <w:rPr>
          <w:rFonts w:cs="Times New Roman"/>
          <w:sz w:val="24"/>
          <w:szCs w:val="24"/>
          <w:lang w:val="bs-Latn-BA"/>
        </w:rPr>
        <w:t xml:space="preserve">a kao </w:t>
      </w:r>
      <w:r>
        <w:rPr>
          <w:rFonts w:cs="Times New Roman"/>
          <w:sz w:val="24"/>
          <w:szCs w:val="24"/>
          <w:lang w:val="bs-Latn-BA"/>
        </w:rPr>
        <w:t>i</w:t>
      </w:r>
      <w:r w:rsidRPr="00B36FEF">
        <w:rPr>
          <w:rFonts w:cs="Times New Roman"/>
          <w:sz w:val="24"/>
          <w:szCs w:val="24"/>
          <w:lang w:val="bs-Latn-BA"/>
        </w:rPr>
        <w:t xml:space="preserve"> povećanjem troškova proizvodnje. Prilikom izrade makroeekonomskih projekcij</w:t>
      </w:r>
      <w:r>
        <w:rPr>
          <w:rFonts w:cs="Times New Roman"/>
          <w:sz w:val="24"/>
          <w:szCs w:val="24"/>
          <w:lang w:val="bs-Latn-BA"/>
        </w:rPr>
        <w:t>a</w:t>
      </w:r>
      <w:r w:rsidRPr="00B36FEF">
        <w:rPr>
          <w:rFonts w:cs="Times New Roman"/>
          <w:sz w:val="24"/>
          <w:szCs w:val="24"/>
          <w:lang w:val="bs-Latn-BA"/>
        </w:rPr>
        <w:t xml:space="preserve"> u ovom krugu, pretpostavljeni scenarij kretanja cijena energenata na svjetskim tržištima uključuje  post</w:t>
      </w:r>
      <w:r>
        <w:rPr>
          <w:rFonts w:cs="Times New Roman"/>
          <w:sz w:val="24"/>
          <w:szCs w:val="24"/>
          <w:lang w:val="bs-Latn-BA"/>
        </w:rPr>
        <w:t>upnu</w:t>
      </w:r>
      <w:r w:rsidRPr="00B36FEF">
        <w:rPr>
          <w:rFonts w:cs="Times New Roman"/>
          <w:sz w:val="24"/>
          <w:szCs w:val="24"/>
          <w:lang w:val="bs-Latn-BA"/>
        </w:rPr>
        <w:t xml:space="preserve"> stabilizaciju cijena u srednjem roku.</w:t>
      </w:r>
    </w:p>
    <w:p w14:paraId="16F140DF" w14:textId="77777777" w:rsidR="00AE7ED0" w:rsidRPr="00B36FEF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 xml:space="preserve">Rizici za inflaciju u srednjem roku ostaju izraženi i dominantno </w:t>
      </w:r>
      <w:r>
        <w:rPr>
          <w:rFonts w:cs="Times New Roman"/>
          <w:sz w:val="24"/>
          <w:szCs w:val="24"/>
          <w:lang w:val="bs-Latn-BA"/>
        </w:rPr>
        <w:t>o</w:t>
      </w:r>
      <w:r w:rsidRPr="00B36FEF">
        <w:rPr>
          <w:rFonts w:cs="Times New Roman"/>
          <w:sz w:val="24"/>
          <w:szCs w:val="24"/>
          <w:lang w:val="bs-Latn-BA"/>
        </w:rPr>
        <w:t>vise o kretanj</w:t>
      </w:r>
      <w:r>
        <w:rPr>
          <w:rFonts w:cs="Times New Roman"/>
          <w:sz w:val="24"/>
          <w:szCs w:val="24"/>
          <w:lang w:val="bs-Latn-BA"/>
        </w:rPr>
        <w:t>u</w:t>
      </w:r>
      <w:r w:rsidRPr="00B36FEF">
        <w:rPr>
          <w:rFonts w:cs="Times New Roman"/>
          <w:sz w:val="24"/>
          <w:szCs w:val="24"/>
          <w:lang w:val="bs-Latn-BA"/>
        </w:rPr>
        <w:t xml:space="preserve"> u eksternom okruženju, pri čemu se poseb</w:t>
      </w:r>
      <w:r>
        <w:rPr>
          <w:rFonts w:cs="Times New Roman"/>
          <w:sz w:val="24"/>
          <w:szCs w:val="24"/>
          <w:lang w:val="bs-Latn-BA"/>
        </w:rPr>
        <w:t>ice</w:t>
      </w:r>
      <w:r w:rsidRPr="00B36FEF">
        <w:rPr>
          <w:rFonts w:cs="Times New Roman"/>
          <w:sz w:val="24"/>
          <w:szCs w:val="24"/>
          <w:lang w:val="bs-Latn-BA"/>
        </w:rPr>
        <w:t xml:space="preserve"> ističu geopolitičke tenzije i potencijalna nova volatilnost na globalnim tržištima energenata i hrane. Dodatnu neizvjesnost predstavljaju inflaci</w:t>
      </w:r>
      <w:r>
        <w:rPr>
          <w:rFonts w:cs="Times New Roman"/>
          <w:sz w:val="24"/>
          <w:szCs w:val="24"/>
          <w:lang w:val="bs-Latn-BA"/>
        </w:rPr>
        <w:t>jska</w:t>
      </w:r>
      <w:r w:rsidRPr="00B36FEF">
        <w:rPr>
          <w:rFonts w:cs="Times New Roman"/>
          <w:sz w:val="24"/>
          <w:szCs w:val="24"/>
          <w:lang w:val="bs-Latn-BA"/>
        </w:rPr>
        <w:t xml:space="preserve"> očekivanja i mogući efekti kroz formiranje cijena i troškova u </w:t>
      </w:r>
      <w:r>
        <w:rPr>
          <w:rFonts w:cs="Times New Roman"/>
          <w:sz w:val="24"/>
          <w:szCs w:val="24"/>
          <w:lang w:val="bs-Latn-BA"/>
        </w:rPr>
        <w:t>gospodarstvu</w:t>
      </w:r>
      <w:r w:rsidRPr="00B36FEF">
        <w:rPr>
          <w:rFonts w:cs="Times New Roman"/>
          <w:sz w:val="24"/>
          <w:szCs w:val="24"/>
          <w:lang w:val="bs-Latn-BA"/>
        </w:rPr>
        <w:t>. Isto</w:t>
      </w:r>
      <w:r>
        <w:rPr>
          <w:rFonts w:cs="Times New Roman"/>
          <w:sz w:val="24"/>
          <w:szCs w:val="24"/>
          <w:lang w:val="bs-Latn-BA"/>
        </w:rPr>
        <w:t>dobno</w:t>
      </w:r>
      <w:r w:rsidRPr="00B36FEF">
        <w:rPr>
          <w:rFonts w:cs="Times New Roman"/>
          <w:sz w:val="24"/>
          <w:szCs w:val="24"/>
          <w:lang w:val="bs-Latn-BA"/>
        </w:rPr>
        <w:t xml:space="preserve">, domaći </w:t>
      </w:r>
      <w:r>
        <w:rPr>
          <w:rFonts w:cs="Times New Roman"/>
          <w:sz w:val="24"/>
          <w:szCs w:val="24"/>
          <w:lang w:val="bs-Latn-BA"/>
        </w:rPr>
        <w:t>čimbenici</w:t>
      </w:r>
      <w:r w:rsidRPr="00B36FEF">
        <w:rPr>
          <w:rFonts w:cs="Times New Roman"/>
          <w:sz w:val="24"/>
          <w:szCs w:val="24"/>
          <w:lang w:val="bs-Latn-BA"/>
        </w:rPr>
        <w:t xml:space="preserve"> nose umjerene rizike, koji u osnovi </w:t>
      </w:r>
      <w:r>
        <w:rPr>
          <w:rFonts w:cs="Times New Roman"/>
          <w:sz w:val="24"/>
          <w:szCs w:val="24"/>
          <w:lang w:val="bs-Latn-BA"/>
        </w:rPr>
        <w:t>o</w:t>
      </w:r>
      <w:r w:rsidRPr="00B36FEF">
        <w:rPr>
          <w:rFonts w:cs="Times New Roman"/>
          <w:sz w:val="24"/>
          <w:szCs w:val="24"/>
          <w:lang w:val="bs-Latn-BA"/>
        </w:rPr>
        <w:t>vise o dinami</w:t>
      </w:r>
      <w:r>
        <w:rPr>
          <w:rFonts w:cs="Times New Roman"/>
          <w:sz w:val="24"/>
          <w:szCs w:val="24"/>
          <w:lang w:val="bs-Latn-BA"/>
        </w:rPr>
        <w:t>ci</w:t>
      </w:r>
      <w:r w:rsidRPr="00B36FEF">
        <w:rPr>
          <w:rFonts w:cs="Times New Roman"/>
          <w:sz w:val="24"/>
          <w:szCs w:val="24"/>
          <w:lang w:val="bs-Latn-BA"/>
        </w:rPr>
        <w:t xml:space="preserve"> tržišta rada i intenzitet</w:t>
      </w:r>
      <w:r>
        <w:rPr>
          <w:rFonts w:cs="Times New Roman"/>
          <w:sz w:val="24"/>
          <w:szCs w:val="24"/>
          <w:lang w:val="bs-Latn-BA"/>
        </w:rPr>
        <w:t>u</w:t>
      </w:r>
      <w:r w:rsidRPr="00B36FEF">
        <w:rPr>
          <w:rFonts w:cs="Times New Roman"/>
          <w:sz w:val="24"/>
          <w:szCs w:val="24"/>
          <w:lang w:val="bs-Latn-BA"/>
        </w:rPr>
        <w:t xml:space="preserve"> domaće ekonomske aktivnosti. Negativni rizici vezani </w:t>
      </w:r>
      <w:r>
        <w:rPr>
          <w:rFonts w:cs="Times New Roman"/>
          <w:sz w:val="24"/>
          <w:szCs w:val="24"/>
          <w:lang w:val="bs-Latn-BA"/>
        </w:rPr>
        <w:t>uz</w:t>
      </w:r>
      <w:r w:rsidRPr="00B36FEF">
        <w:rPr>
          <w:rFonts w:cs="Times New Roman"/>
          <w:sz w:val="24"/>
          <w:szCs w:val="24"/>
          <w:lang w:val="bs-Latn-BA"/>
        </w:rPr>
        <w:t xml:space="preserve"> inflaciju u srednjem roku ostaju značajno izraženi.</w:t>
      </w:r>
    </w:p>
    <w:p w14:paraId="44CCBCFF" w14:textId="33C8EA08" w:rsidR="00896985" w:rsidRPr="00FE0F48" w:rsidRDefault="00AE7ED0" w:rsidP="00AE7ED0">
      <w:pPr>
        <w:spacing w:before="240" w:after="240" w:line="360" w:lineRule="auto"/>
        <w:jc w:val="both"/>
        <w:rPr>
          <w:rFonts w:cs="Times New Roman"/>
          <w:sz w:val="24"/>
          <w:szCs w:val="24"/>
          <w:lang w:val="bs-Latn-BA"/>
        </w:rPr>
      </w:pPr>
      <w:r w:rsidRPr="00B36FEF">
        <w:rPr>
          <w:rFonts w:cs="Times New Roman"/>
          <w:sz w:val="24"/>
          <w:szCs w:val="24"/>
          <w:lang w:val="bs-Latn-BA"/>
        </w:rPr>
        <w:t xml:space="preserve">Naše dosadašnje projekcije su se pokazale vrlo pouzdane, čak i u </w:t>
      </w:r>
      <w:r>
        <w:rPr>
          <w:rFonts w:cs="Times New Roman"/>
          <w:sz w:val="24"/>
          <w:szCs w:val="24"/>
          <w:lang w:val="bs-Latn-BA"/>
        </w:rPr>
        <w:t>iz</w:t>
      </w:r>
      <w:r w:rsidRPr="00B36FEF">
        <w:rPr>
          <w:rFonts w:cs="Times New Roman"/>
          <w:sz w:val="24"/>
          <w:szCs w:val="24"/>
          <w:lang w:val="bs-Latn-BA"/>
        </w:rPr>
        <w:t xml:space="preserve">vanrednim okolnostima kakva je bila pandemija, kasniji </w:t>
      </w:r>
      <w:r>
        <w:rPr>
          <w:rFonts w:cs="Times New Roman"/>
          <w:sz w:val="24"/>
          <w:szCs w:val="24"/>
          <w:lang w:val="bs-Latn-BA"/>
        </w:rPr>
        <w:t>iz</w:t>
      </w:r>
      <w:r w:rsidRPr="00B36FEF">
        <w:rPr>
          <w:rFonts w:cs="Times New Roman"/>
          <w:sz w:val="24"/>
          <w:szCs w:val="24"/>
          <w:lang w:val="bs-Latn-BA"/>
        </w:rPr>
        <w:t>vanredni inflatorni šok i poplave, ili nezabilježen rast troškova rada, te su harmoniz</w:t>
      </w:r>
      <w:r>
        <w:rPr>
          <w:rFonts w:cs="Times New Roman"/>
          <w:sz w:val="24"/>
          <w:szCs w:val="24"/>
          <w:lang w:val="bs-Latn-BA"/>
        </w:rPr>
        <w:t>ir</w:t>
      </w:r>
      <w:r w:rsidRPr="00B36FEF">
        <w:rPr>
          <w:rFonts w:cs="Times New Roman"/>
          <w:sz w:val="24"/>
          <w:szCs w:val="24"/>
          <w:lang w:val="bs-Latn-BA"/>
        </w:rPr>
        <w:t xml:space="preserve">ane s trendovima u projekcijama ostalih relevantnih institucija. Objavu rezultata narednog kruga srednjoročnih makroekonomskih projekcija za </w:t>
      </w:r>
      <w:r>
        <w:rPr>
          <w:rFonts w:cs="Times New Roman"/>
          <w:sz w:val="24"/>
          <w:szCs w:val="24"/>
          <w:lang w:val="bs-Latn-BA"/>
        </w:rPr>
        <w:t>razdoblje</w:t>
      </w:r>
      <w:r w:rsidRPr="00B36FEF">
        <w:rPr>
          <w:rFonts w:cs="Times New Roman"/>
          <w:sz w:val="24"/>
          <w:szCs w:val="24"/>
          <w:lang w:val="bs-Latn-BA"/>
        </w:rPr>
        <w:t xml:space="preserve"> 2026</w:t>
      </w:r>
      <w:r>
        <w:rPr>
          <w:rFonts w:cs="Times New Roman"/>
          <w:sz w:val="24"/>
          <w:szCs w:val="24"/>
          <w:lang w:val="bs-Latn-BA"/>
        </w:rPr>
        <w:t>.</w:t>
      </w:r>
      <w:r w:rsidRPr="00B36FEF">
        <w:rPr>
          <w:rFonts w:cs="Times New Roman"/>
          <w:sz w:val="24"/>
          <w:szCs w:val="24"/>
          <w:lang w:val="bs-Latn-BA"/>
        </w:rPr>
        <w:t xml:space="preserve"> – 2028. godina planiramo za </w:t>
      </w:r>
      <w:r>
        <w:rPr>
          <w:rFonts w:cs="Times New Roman"/>
          <w:sz w:val="24"/>
          <w:szCs w:val="24"/>
          <w:lang w:val="bs-Latn-BA"/>
        </w:rPr>
        <w:t>listopad</w:t>
      </w:r>
      <w:r w:rsidRPr="00B36FEF">
        <w:rPr>
          <w:rFonts w:cs="Times New Roman"/>
          <w:sz w:val="24"/>
          <w:szCs w:val="24"/>
          <w:lang w:val="bs-Latn-BA"/>
        </w:rPr>
        <w:t xml:space="preserve"> 2026. godine. Brze procjene ekonomske aktivnosti i inflacije, koje mogu nagovještavati smjer i intenzitet korekcija srednjoročnih projekcija realnog BDP-a i inflacije, objavljivat ćemo krajem svakog </w:t>
      </w:r>
      <w:r>
        <w:rPr>
          <w:rFonts w:cs="Times New Roman"/>
          <w:sz w:val="24"/>
          <w:szCs w:val="24"/>
          <w:lang w:val="bs-Latn-BA"/>
        </w:rPr>
        <w:t>tromjesečja</w:t>
      </w:r>
      <w:r w:rsidRPr="00B36FEF">
        <w:rPr>
          <w:rFonts w:cs="Times New Roman"/>
          <w:sz w:val="24"/>
          <w:szCs w:val="24"/>
          <w:lang w:val="bs-Latn-BA"/>
        </w:rPr>
        <w:t xml:space="preserve">. Prva naredna objava brzih procjena planirana je </w:t>
      </w:r>
      <w:r>
        <w:rPr>
          <w:rFonts w:cs="Times New Roman"/>
          <w:sz w:val="24"/>
          <w:szCs w:val="24"/>
          <w:lang w:val="bs-Latn-BA"/>
        </w:rPr>
        <w:t>za lipanj</w:t>
      </w:r>
      <w:r w:rsidRPr="00B36FEF">
        <w:rPr>
          <w:rFonts w:cs="Times New Roman"/>
          <w:sz w:val="24"/>
          <w:szCs w:val="24"/>
          <w:lang w:val="bs-Latn-BA"/>
        </w:rPr>
        <w:t xml:space="preserve"> 2026. godine.</w:t>
      </w:r>
    </w:p>
    <w:sectPr w:rsidR="00896985" w:rsidRPr="00FE0F48" w:rsidSect="007A1307">
      <w:headerReference w:type="default" r:id="rId14"/>
      <w:footerReference w:type="default" r:id="rId15"/>
      <w:pgSz w:w="12240" w:h="15840"/>
      <w:pgMar w:top="1440" w:right="1440" w:bottom="1440" w:left="1440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A4AAB" w14:textId="77777777" w:rsidR="00045479" w:rsidRDefault="00045479" w:rsidP="007F7363">
      <w:pPr>
        <w:spacing w:after="0" w:line="240" w:lineRule="auto"/>
      </w:pPr>
      <w:r>
        <w:separator/>
      </w:r>
    </w:p>
  </w:endnote>
  <w:endnote w:type="continuationSeparator" w:id="0">
    <w:p w14:paraId="1EB5B192" w14:textId="77777777" w:rsidR="00045479" w:rsidRDefault="00045479" w:rsidP="007F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43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EE137F" w14:textId="721C10C7" w:rsidR="007F7363" w:rsidRDefault="007F73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B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EE1380" w14:textId="77777777" w:rsidR="007F7363" w:rsidRDefault="007F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7EADC" w14:textId="77777777" w:rsidR="00045479" w:rsidRDefault="00045479" w:rsidP="007F7363">
      <w:pPr>
        <w:spacing w:after="0" w:line="240" w:lineRule="auto"/>
      </w:pPr>
      <w:r>
        <w:separator/>
      </w:r>
    </w:p>
  </w:footnote>
  <w:footnote w:type="continuationSeparator" w:id="0">
    <w:p w14:paraId="4A1A0ECC" w14:textId="77777777" w:rsidR="00045479" w:rsidRDefault="00045479" w:rsidP="007F7363">
      <w:pPr>
        <w:spacing w:after="0" w:line="240" w:lineRule="auto"/>
      </w:pPr>
      <w:r>
        <w:continuationSeparator/>
      </w:r>
    </w:p>
  </w:footnote>
  <w:footnote w:id="1">
    <w:p w14:paraId="41DB2EC4" w14:textId="77777777" w:rsidR="00972FF4" w:rsidRPr="00052317" w:rsidRDefault="00972FF4" w:rsidP="00972FF4">
      <w:pPr>
        <w:pStyle w:val="FootnoteTex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2317">
        <w:rPr>
          <w:rFonts w:ascii="Times New Roman" w:hAnsi="Times New Roman" w:cs="Times New Roman"/>
          <w:sz w:val="24"/>
          <w:szCs w:val="24"/>
        </w:rPr>
        <w:t xml:space="preserve">Agencija za </w:t>
      </w:r>
      <w:proofErr w:type="spellStart"/>
      <w:r w:rsidRPr="00052317">
        <w:rPr>
          <w:rFonts w:ascii="Times New Roman" w:hAnsi="Times New Roman" w:cs="Times New Roman"/>
          <w:sz w:val="24"/>
          <w:szCs w:val="24"/>
        </w:rPr>
        <w:t>statistiku</w:t>
      </w:r>
      <w:proofErr w:type="spellEnd"/>
      <w:r w:rsidRPr="00052317">
        <w:rPr>
          <w:rFonts w:ascii="Times New Roman" w:hAnsi="Times New Roman" w:cs="Times New Roman"/>
          <w:sz w:val="24"/>
          <w:szCs w:val="24"/>
        </w:rPr>
        <w:t xml:space="preserve"> BiH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provela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veliku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serija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BDP-u</w:t>
      </w:r>
      <w:r w:rsidRPr="0014310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od 2000. do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14310C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10C">
        <w:rPr>
          <w:rFonts w:ascii="Times New Roman" w:hAnsi="Times New Roman" w:cs="Times New Roman"/>
          <w:sz w:val="24"/>
          <w:szCs w:val="24"/>
        </w:rPr>
        <w:t>avila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bio je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usklađivanje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10C">
        <w:rPr>
          <w:rFonts w:ascii="Times New Roman" w:hAnsi="Times New Roman" w:cs="Times New Roman"/>
          <w:sz w:val="24"/>
          <w:szCs w:val="24"/>
        </w:rPr>
        <w:t>ropskim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statističkim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standardima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(ESA 2010)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prelazak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novu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klasifikaciju</w:t>
      </w:r>
      <w:proofErr w:type="spellEnd"/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osobne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310C">
        <w:rPr>
          <w:rFonts w:ascii="Times New Roman" w:hAnsi="Times New Roman" w:cs="Times New Roman"/>
          <w:sz w:val="24"/>
          <w:szCs w:val="24"/>
        </w:rPr>
        <w:t>potrošnje</w:t>
      </w:r>
      <w:proofErr w:type="spellEnd"/>
      <w:proofErr w:type="gramEnd"/>
      <w:r w:rsidRPr="0014310C">
        <w:rPr>
          <w:rFonts w:ascii="Times New Roman" w:hAnsi="Times New Roman" w:cs="Times New Roman"/>
          <w:sz w:val="24"/>
          <w:szCs w:val="24"/>
        </w:rPr>
        <w:t xml:space="preserve"> (COICOP 2018)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080A1" w14:textId="77777777" w:rsidR="00972FF4" w:rsidRPr="002C711E" w:rsidRDefault="00972FF4" w:rsidP="00972FF4">
      <w:pPr>
        <w:pStyle w:val="FootnoteText"/>
        <w:jc w:val="both"/>
        <w:rPr>
          <w:i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E137E" w14:textId="77777777" w:rsidR="007A1307" w:rsidRDefault="0056343E" w:rsidP="0056343E">
    <w:pPr>
      <w:pStyle w:val="Header"/>
      <w:tabs>
        <w:tab w:val="left" w:pos="1763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0EE13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6pt;height:417pt;visibility:visible;mso-wrap-style:square" o:bullet="t">
        <v:imagedata r:id="rId1" o:title=""/>
      </v:shape>
    </w:pict>
  </w:numPicBullet>
  <w:abstractNum w:abstractNumId="0" w15:restartNumberingAfterBreak="0">
    <w:nsid w:val="0AA45BEB"/>
    <w:multiLevelType w:val="multilevel"/>
    <w:tmpl w:val="2D18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6863"/>
    <w:multiLevelType w:val="hybridMultilevel"/>
    <w:tmpl w:val="113EC6BC"/>
    <w:lvl w:ilvl="0" w:tplc="AAFC101E">
      <w:start w:val="1"/>
      <w:numFmt w:val="decimal"/>
      <w:pStyle w:val="Grafikoni"/>
      <w:lvlText w:val="Grafikon %1."/>
      <w:lvlJc w:val="left"/>
      <w:pPr>
        <w:ind w:left="5463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6183" w:hanging="360"/>
      </w:pPr>
    </w:lvl>
    <w:lvl w:ilvl="2" w:tplc="0809001B" w:tentative="1">
      <w:start w:val="1"/>
      <w:numFmt w:val="lowerRoman"/>
      <w:lvlText w:val="%3."/>
      <w:lvlJc w:val="right"/>
      <w:pPr>
        <w:ind w:left="6903" w:hanging="180"/>
      </w:pPr>
    </w:lvl>
    <w:lvl w:ilvl="3" w:tplc="0809000F" w:tentative="1">
      <w:start w:val="1"/>
      <w:numFmt w:val="decimal"/>
      <w:lvlText w:val="%4."/>
      <w:lvlJc w:val="left"/>
      <w:pPr>
        <w:ind w:left="7623" w:hanging="360"/>
      </w:pPr>
    </w:lvl>
    <w:lvl w:ilvl="4" w:tplc="08090019" w:tentative="1">
      <w:start w:val="1"/>
      <w:numFmt w:val="lowerLetter"/>
      <w:lvlText w:val="%5."/>
      <w:lvlJc w:val="left"/>
      <w:pPr>
        <w:ind w:left="8343" w:hanging="360"/>
      </w:pPr>
    </w:lvl>
    <w:lvl w:ilvl="5" w:tplc="0809001B" w:tentative="1">
      <w:start w:val="1"/>
      <w:numFmt w:val="lowerRoman"/>
      <w:lvlText w:val="%6."/>
      <w:lvlJc w:val="right"/>
      <w:pPr>
        <w:ind w:left="9063" w:hanging="180"/>
      </w:pPr>
    </w:lvl>
    <w:lvl w:ilvl="6" w:tplc="0809000F" w:tentative="1">
      <w:start w:val="1"/>
      <w:numFmt w:val="decimal"/>
      <w:lvlText w:val="%7."/>
      <w:lvlJc w:val="left"/>
      <w:pPr>
        <w:ind w:left="9783" w:hanging="360"/>
      </w:pPr>
    </w:lvl>
    <w:lvl w:ilvl="7" w:tplc="08090019" w:tentative="1">
      <w:start w:val="1"/>
      <w:numFmt w:val="lowerLetter"/>
      <w:lvlText w:val="%8."/>
      <w:lvlJc w:val="left"/>
      <w:pPr>
        <w:ind w:left="10503" w:hanging="360"/>
      </w:pPr>
    </w:lvl>
    <w:lvl w:ilvl="8" w:tplc="080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" w15:restartNumberingAfterBreak="0">
    <w:nsid w:val="0F88190A"/>
    <w:multiLevelType w:val="multilevel"/>
    <w:tmpl w:val="B0D8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D47F0A"/>
    <w:multiLevelType w:val="hybridMultilevel"/>
    <w:tmpl w:val="A4E2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70F46"/>
    <w:multiLevelType w:val="hybridMultilevel"/>
    <w:tmpl w:val="5B4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367EF"/>
    <w:multiLevelType w:val="hybridMultilevel"/>
    <w:tmpl w:val="0A7C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716CF"/>
    <w:multiLevelType w:val="hybridMultilevel"/>
    <w:tmpl w:val="5AA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D64EC"/>
    <w:multiLevelType w:val="hybridMultilevel"/>
    <w:tmpl w:val="D848E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22906"/>
    <w:multiLevelType w:val="hybridMultilevel"/>
    <w:tmpl w:val="FEFC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34A47"/>
    <w:multiLevelType w:val="hybridMultilevel"/>
    <w:tmpl w:val="E0BA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4C"/>
    <w:rsid w:val="00003988"/>
    <w:rsid w:val="00043FE4"/>
    <w:rsid w:val="00045479"/>
    <w:rsid w:val="000606AF"/>
    <w:rsid w:val="00062EF8"/>
    <w:rsid w:val="00065BF6"/>
    <w:rsid w:val="000A3297"/>
    <w:rsid w:val="000B5763"/>
    <w:rsid w:val="000B7EF9"/>
    <w:rsid w:val="000E7075"/>
    <w:rsid w:val="00175443"/>
    <w:rsid w:val="001C4F00"/>
    <w:rsid w:val="001E13BD"/>
    <w:rsid w:val="00215990"/>
    <w:rsid w:val="00256E3F"/>
    <w:rsid w:val="002857B5"/>
    <w:rsid w:val="002A7CEE"/>
    <w:rsid w:val="002B74D6"/>
    <w:rsid w:val="00331FF7"/>
    <w:rsid w:val="00334DF0"/>
    <w:rsid w:val="00350278"/>
    <w:rsid w:val="00351896"/>
    <w:rsid w:val="00376733"/>
    <w:rsid w:val="00381600"/>
    <w:rsid w:val="0038467A"/>
    <w:rsid w:val="00386D4B"/>
    <w:rsid w:val="003B55E9"/>
    <w:rsid w:val="003B6560"/>
    <w:rsid w:val="0045371E"/>
    <w:rsid w:val="004653AC"/>
    <w:rsid w:val="004728AF"/>
    <w:rsid w:val="004B4FE4"/>
    <w:rsid w:val="00530850"/>
    <w:rsid w:val="00552375"/>
    <w:rsid w:val="00555B5E"/>
    <w:rsid w:val="0056343E"/>
    <w:rsid w:val="0066678E"/>
    <w:rsid w:val="00672345"/>
    <w:rsid w:val="006768CD"/>
    <w:rsid w:val="0068338A"/>
    <w:rsid w:val="006B5DAC"/>
    <w:rsid w:val="006F3799"/>
    <w:rsid w:val="007962A6"/>
    <w:rsid w:val="007A1307"/>
    <w:rsid w:val="007E59ED"/>
    <w:rsid w:val="007F7363"/>
    <w:rsid w:val="00822027"/>
    <w:rsid w:val="0086514C"/>
    <w:rsid w:val="00867D1E"/>
    <w:rsid w:val="008718F3"/>
    <w:rsid w:val="008740EB"/>
    <w:rsid w:val="00887CB1"/>
    <w:rsid w:val="00896985"/>
    <w:rsid w:val="008D4BC4"/>
    <w:rsid w:val="008F2BC7"/>
    <w:rsid w:val="008F6309"/>
    <w:rsid w:val="00926C74"/>
    <w:rsid w:val="00957A94"/>
    <w:rsid w:val="00972FF4"/>
    <w:rsid w:val="009B3473"/>
    <w:rsid w:val="009D3DE5"/>
    <w:rsid w:val="009F65E0"/>
    <w:rsid w:val="00A071B1"/>
    <w:rsid w:val="00A43318"/>
    <w:rsid w:val="00A50569"/>
    <w:rsid w:val="00A66E85"/>
    <w:rsid w:val="00AE7ED0"/>
    <w:rsid w:val="00B43EA6"/>
    <w:rsid w:val="00BB7573"/>
    <w:rsid w:val="00BD38BB"/>
    <w:rsid w:val="00BD7867"/>
    <w:rsid w:val="00BE43F2"/>
    <w:rsid w:val="00C73849"/>
    <w:rsid w:val="00CB7FA9"/>
    <w:rsid w:val="00CE3E53"/>
    <w:rsid w:val="00D2058E"/>
    <w:rsid w:val="00D40E8B"/>
    <w:rsid w:val="00D61E13"/>
    <w:rsid w:val="00DE5F82"/>
    <w:rsid w:val="00E65EDA"/>
    <w:rsid w:val="00EB607D"/>
    <w:rsid w:val="00EF78B4"/>
    <w:rsid w:val="00FD541E"/>
    <w:rsid w:val="00FE0D11"/>
    <w:rsid w:val="00FE0E98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1338"/>
  <w15:chartTrackingRefBased/>
  <w15:docId w15:val="{BA0FA0B0-701D-4BE3-A46C-DEFCC69A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BC7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569"/>
    <w:pPr>
      <w:keepNext/>
      <w:keepLines/>
      <w:spacing w:before="240" w:after="0"/>
      <w:outlineLvl w:val="0"/>
    </w:pPr>
    <w:rPr>
      <w:rFonts w:eastAsiaTheme="majorEastAsia" w:cstheme="majorBidi"/>
      <w:color w:val="01367B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569"/>
    <w:pPr>
      <w:keepNext/>
      <w:keepLines/>
      <w:spacing w:before="40" w:after="0"/>
      <w:outlineLvl w:val="1"/>
    </w:pPr>
    <w:rPr>
      <w:rFonts w:eastAsiaTheme="majorEastAsia" w:cstheme="majorBidi"/>
      <w:color w:val="01367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2BC7"/>
    <w:pPr>
      <w:spacing w:after="0" w:line="240" w:lineRule="auto"/>
    </w:pPr>
    <w:rPr>
      <w:rFonts w:ascii="Times New Roman" w:eastAsiaTheme="minorEastAsia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F2BC7"/>
    <w:rPr>
      <w:rFonts w:ascii="Times New Roman" w:eastAsiaTheme="minorEastAsia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0569"/>
    <w:rPr>
      <w:rFonts w:ascii="Times New Roman" w:eastAsiaTheme="majorEastAsia" w:hAnsi="Times New Roman" w:cstheme="majorBidi"/>
      <w:color w:val="01367B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0569"/>
    <w:rPr>
      <w:rFonts w:ascii="Times New Roman" w:eastAsiaTheme="majorEastAsia" w:hAnsi="Times New Roman" w:cstheme="majorBidi"/>
      <w:color w:val="01367B"/>
      <w:sz w:val="24"/>
      <w:szCs w:val="26"/>
    </w:rPr>
  </w:style>
  <w:style w:type="paragraph" w:styleId="ListParagraph">
    <w:name w:val="List Paragraph"/>
    <w:basedOn w:val="Normal"/>
    <w:uiPriority w:val="34"/>
    <w:qFormat/>
    <w:rsid w:val="007F736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F7363"/>
    <w:pPr>
      <w:outlineLvl w:val="9"/>
    </w:pPr>
    <w:rPr>
      <w:rFonts w:asciiTheme="majorHAnsi" w:hAnsiTheme="majorHAnsi"/>
      <w:color w:val="00285B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7F73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736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F7363"/>
    <w:rPr>
      <w:color w:val="2D599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36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F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36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1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60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600"/>
    <w:rPr>
      <w:rFonts w:ascii="Times New Roman" w:hAnsi="Times New Roman"/>
      <w:b/>
      <w:bCs/>
      <w:sz w:val="20"/>
      <w:szCs w:val="20"/>
    </w:rPr>
  </w:style>
  <w:style w:type="paragraph" w:customStyle="1" w:styleId="Grafikoni">
    <w:name w:val="Grafikoni"/>
    <w:basedOn w:val="Caption"/>
    <w:link w:val="GrafikoniChar"/>
    <w:autoRedefine/>
    <w:qFormat/>
    <w:rsid w:val="000606AF"/>
    <w:pPr>
      <w:numPr>
        <w:numId w:val="5"/>
      </w:numPr>
      <w:spacing w:before="240" w:after="240" w:line="360" w:lineRule="auto"/>
      <w:ind w:left="0" w:firstLine="0"/>
      <w:jc w:val="both"/>
    </w:pPr>
    <w:rPr>
      <w:rFonts w:cs="Times New Roman"/>
      <w:i w:val="0"/>
      <w:color w:val="auto"/>
      <w:sz w:val="24"/>
      <w:szCs w:val="24"/>
      <w:lang w:val="bs-Latn-BA"/>
    </w:rPr>
  </w:style>
  <w:style w:type="character" w:customStyle="1" w:styleId="GrafikoniChar">
    <w:name w:val="Grafikoni Char"/>
    <w:basedOn w:val="DefaultParagraphFont"/>
    <w:link w:val="Grafikoni"/>
    <w:rsid w:val="000606AF"/>
    <w:rPr>
      <w:rFonts w:ascii="Times New Roman" w:hAnsi="Times New Roman" w:cs="Times New Roman"/>
      <w:iCs/>
      <w:sz w:val="24"/>
      <w:szCs w:val="24"/>
      <w:lang w:val="bs-Latn-BA"/>
    </w:rPr>
  </w:style>
  <w:style w:type="paragraph" w:customStyle="1" w:styleId="Bodytext">
    <w:name w:val="Body_text"/>
    <w:basedOn w:val="Normal"/>
    <w:link w:val="BodytextChar"/>
    <w:autoRedefine/>
    <w:qFormat/>
    <w:rsid w:val="000606AF"/>
    <w:pPr>
      <w:spacing w:before="240" w:after="240" w:line="360" w:lineRule="auto"/>
      <w:jc w:val="both"/>
    </w:pPr>
    <w:rPr>
      <w:rFonts w:eastAsia="Calibri" w:cs="Times New Roman"/>
      <w:bCs/>
      <w:szCs w:val="24"/>
      <w:lang w:val="bs-Latn-BA" w:eastAsia="en-GB"/>
    </w:rPr>
  </w:style>
  <w:style w:type="character" w:customStyle="1" w:styleId="BodytextChar">
    <w:name w:val="Body_text Char"/>
    <w:link w:val="Bodytext"/>
    <w:rsid w:val="000606AF"/>
    <w:rPr>
      <w:rFonts w:ascii="Times New Roman" w:eastAsia="Calibri" w:hAnsi="Times New Roman" w:cs="Times New Roman"/>
      <w:bCs/>
      <w:szCs w:val="24"/>
      <w:lang w:val="bs-Latn-BA" w:eastAsia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0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FF4"/>
    <w:pPr>
      <w:spacing w:after="0" w:line="240" w:lineRule="auto"/>
      <w:ind w:left="2421" w:hanging="2058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F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67B"/>
      </a:accent1>
      <a:accent2>
        <a:srgbClr val="A38D73"/>
      </a:accent2>
      <a:accent3>
        <a:srgbClr val="E0D9D1"/>
      </a:accent3>
      <a:accent4>
        <a:srgbClr val="00ADEF"/>
      </a:accent4>
      <a:accent5>
        <a:srgbClr val="5B9BD5"/>
      </a:accent5>
      <a:accent6>
        <a:srgbClr val="80A56B"/>
      </a:accent6>
      <a:hlink>
        <a:srgbClr val="2D599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EB464B15694498A968ACCD78E1E60" ma:contentTypeVersion="2" ma:contentTypeDescription="Create a new document." ma:contentTypeScope="" ma:versionID="be59bcb5bc0bbad599da4c5edd920d81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019e807cf7b0ed2dd1c4ed9a13cbdf91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FC3YXX4KJQNR-1789475570-73</_dlc_DocId>
    <_dlc_DocIdUrl xmlns="4eac048a-4bc3-4d77-b3e5-b66a5696d6e2">
      <Url>http://intranet/dokumenti/_layouts/15/DocIdRedir.aspx?ID=FC3YXX4KJQNR-1789475570-73</Url>
      <Description>FC3YXX4KJQNR-1789475570-73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F9904-EF85-4FCE-AAD6-A40E2ADC77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60939F-1D7A-4F9B-9326-71B3A8919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8D9C4-F362-4D52-BEFF-E2914FC3584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40af5269-b766-4386-98ea-07be65620534"/>
    <ds:schemaRef ds:uri="4eac048a-4bc3-4d77-b3e5-b66a5696d6e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44119B-73A7-42D1-AD3A-B4FA812B40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5FDA17-A77C-4A7B-96A4-6455EC8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Zijada Kovac</cp:lastModifiedBy>
  <cp:revision>2</cp:revision>
  <cp:lastPrinted>2024-06-17T10:46:00Z</cp:lastPrinted>
  <dcterms:created xsi:type="dcterms:W3CDTF">2026-05-22T11:23:00Z</dcterms:created>
  <dcterms:modified xsi:type="dcterms:W3CDTF">2026-05-22T11:23:00Z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0x0101003F7EB464B15694498A968ACCD78E1E60</vt:lpwstr>
  </property>
  <property fmtid="{D5CDD505-2E9C-101B-9397-08002B2CF9AE}" pid="3" name="_dlc_DocIdItemGuid">
    <vt:lpwstr>ba34695d-5cae-4f9e-abbb-22eb9b53cbdf</vt:lpwstr>
  </property>
</Properties>
</file>