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3505"/>
        <w:gridCol w:w="2759"/>
        <w:gridCol w:w="3132"/>
      </w:tblGrid>
      <w:tr w:rsidR="000267BA" w:rsidRPr="00370DB8" w:rsidTr="00624ABC">
        <w:tc>
          <w:tcPr>
            <w:tcW w:w="3505" w:type="dxa"/>
          </w:tcPr>
          <w:p w:rsidR="000267BA" w:rsidRPr="00370DB8" w:rsidRDefault="000267BA" w:rsidP="00624ABC">
            <w:pPr>
              <w:rPr>
                <w:lang w:val="en-GB"/>
              </w:rPr>
            </w:pPr>
            <w:r w:rsidRPr="00370DB8">
              <w:rPr>
                <w:lang w:val="en-GB"/>
              </w:rPr>
              <w:t>Data Series</w:t>
            </w:r>
          </w:p>
        </w:tc>
        <w:tc>
          <w:tcPr>
            <w:tcW w:w="2759" w:type="dxa"/>
          </w:tcPr>
          <w:p w:rsidR="000267BA" w:rsidRPr="00370DB8" w:rsidRDefault="000267BA" w:rsidP="00624ABC">
            <w:pPr>
              <w:rPr>
                <w:lang w:val="en-GB"/>
              </w:rPr>
            </w:pPr>
            <w:r w:rsidRPr="00370DB8">
              <w:rPr>
                <w:lang w:val="en-GB"/>
              </w:rPr>
              <w:t>Frequency (monthly, quarterly, annual…)</w:t>
            </w:r>
          </w:p>
        </w:tc>
        <w:tc>
          <w:tcPr>
            <w:tcW w:w="3132" w:type="dxa"/>
          </w:tcPr>
          <w:p w:rsidR="0019428E" w:rsidRDefault="00624ABC" w:rsidP="0019428E">
            <w:pPr>
              <w:rPr>
                <w:lang w:val="en-GB"/>
              </w:rPr>
            </w:pPr>
            <w:r w:rsidRPr="00370DB8">
              <w:rPr>
                <w:lang w:val="en-GB"/>
              </w:rPr>
              <w:t xml:space="preserve">Publication date </w:t>
            </w:r>
          </w:p>
          <w:p w:rsidR="000267BA" w:rsidRPr="00370DB8" w:rsidRDefault="00624ABC" w:rsidP="0019428E">
            <w:pPr>
              <w:rPr>
                <w:lang w:val="en-GB"/>
              </w:rPr>
            </w:pPr>
            <w:r w:rsidRPr="00370DB8">
              <w:rPr>
                <w:lang w:val="en-GB"/>
              </w:rPr>
              <w:t>(</w:t>
            </w:r>
            <w:r w:rsidR="0019428E">
              <w:rPr>
                <w:lang w:val="en-GB"/>
              </w:rPr>
              <w:t>not later tha</w:t>
            </w:r>
            <w:bookmarkStart w:id="0" w:name="_GoBack"/>
            <w:bookmarkEnd w:id="0"/>
            <w:r w:rsidR="0019428E">
              <w:rPr>
                <w:lang w:val="en-GB"/>
              </w:rPr>
              <w:t xml:space="preserve">n </w:t>
            </w:r>
            <w:r w:rsidRPr="00370DB8">
              <w:rPr>
                <w:lang w:val="en-GB"/>
              </w:rPr>
              <w:t>T</w:t>
            </w:r>
            <w:r w:rsidR="000267BA" w:rsidRPr="00370DB8">
              <w:rPr>
                <w:lang w:val="en-GB"/>
              </w:rPr>
              <w:t>+ days)</w:t>
            </w:r>
          </w:p>
        </w:tc>
      </w:tr>
      <w:tr w:rsidR="00197672" w:rsidRPr="00370DB8" w:rsidTr="000C1BEE">
        <w:trPr>
          <w:trHeight w:val="547"/>
        </w:trPr>
        <w:tc>
          <w:tcPr>
            <w:tcW w:w="3505" w:type="dxa"/>
          </w:tcPr>
          <w:p w:rsidR="00197672" w:rsidRPr="00370DB8" w:rsidRDefault="00197672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National Account (GDP)</w:t>
            </w:r>
          </w:p>
        </w:tc>
        <w:tc>
          <w:tcPr>
            <w:tcW w:w="2759" w:type="dxa"/>
          </w:tcPr>
          <w:p w:rsidR="00197672" w:rsidRPr="00370DB8" w:rsidRDefault="00197672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Quarterly</w:t>
            </w:r>
          </w:p>
          <w:p w:rsidR="00197672" w:rsidRPr="00370DB8" w:rsidRDefault="00197672" w:rsidP="004D2111">
            <w:pPr>
              <w:rPr>
                <w:lang w:val="en-GB"/>
              </w:rPr>
            </w:pPr>
            <w:r w:rsidRPr="00370DB8">
              <w:rPr>
                <w:lang w:val="en-GB"/>
              </w:rPr>
              <w:t xml:space="preserve">Annual </w:t>
            </w:r>
          </w:p>
        </w:tc>
        <w:tc>
          <w:tcPr>
            <w:tcW w:w="3132" w:type="dxa"/>
          </w:tcPr>
          <w:p w:rsidR="00197672" w:rsidRPr="00370DB8" w:rsidRDefault="00197672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T+100 days</w:t>
            </w:r>
          </w:p>
          <w:p w:rsidR="00197672" w:rsidRPr="00370DB8" w:rsidRDefault="00197672" w:rsidP="001B59C9">
            <w:pPr>
              <w:rPr>
                <w:lang w:val="en-GB"/>
              </w:rPr>
            </w:pPr>
            <w:r w:rsidRPr="001B59C9">
              <w:rPr>
                <w:lang w:val="en-GB"/>
              </w:rPr>
              <w:t>T+</w:t>
            </w:r>
            <w:r w:rsidR="00E83761">
              <w:rPr>
                <w:lang w:val="en-GB"/>
              </w:rPr>
              <w:t>240</w:t>
            </w:r>
            <w:r w:rsidR="001B59C9" w:rsidRPr="001B59C9">
              <w:rPr>
                <w:lang w:val="en-GB"/>
              </w:rPr>
              <w:t xml:space="preserve"> days</w:t>
            </w:r>
            <w:r w:rsidR="00370DB8" w:rsidRPr="00370DB8">
              <w:rPr>
                <w:lang w:val="en-GB"/>
              </w:rPr>
              <w:t xml:space="preserve"> 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Consumer Price Index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Monthly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T+30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General Government Operation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Annual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T+180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Central Government Operation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Quarterly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T+90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Central Government Gross Debt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Monthly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T+60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Depository Corporations Survey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Monthly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T+30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Central Bank Survey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Monthly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T+30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Interest Rates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Monthly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T+30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Stock Market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Monthly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T+30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Balance of Payments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Quarterly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T+90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External debt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Quarterly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T+90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Official Reserve Assets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Monthly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T+30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Merchandise Trade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Monthly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T+30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International Investment Position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Annual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T+270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Exchange Rates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Monthly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T+30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Production Index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Monthly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T+30 days</w:t>
            </w:r>
          </w:p>
        </w:tc>
      </w:tr>
      <w:tr w:rsidR="004E7D78" w:rsidRPr="00370DB8" w:rsidTr="004E7D78">
        <w:trPr>
          <w:trHeight w:val="527"/>
        </w:trPr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Labo</w:t>
            </w:r>
            <w:r w:rsidR="00370DB8">
              <w:rPr>
                <w:lang w:val="en-GB"/>
              </w:rPr>
              <w:t>u</w:t>
            </w:r>
            <w:r w:rsidRPr="00370DB8">
              <w:rPr>
                <w:lang w:val="en-GB"/>
              </w:rPr>
              <w:t>r Market</w:t>
            </w:r>
          </w:p>
        </w:tc>
        <w:tc>
          <w:tcPr>
            <w:tcW w:w="2759" w:type="dxa"/>
          </w:tcPr>
          <w:p w:rsidR="00E83761" w:rsidRDefault="004E7D78" w:rsidP="00E83761">
            <w:pPr>
              <w:rPr>
                <w:lang w:val="en-GB"/>
              </w:rPr>
            </w:pPr>
            <w:r w:rsidRPr="00370DB8">
              <w:rPr>
                <w:lang w:val="en-GB"/>
              </w:rPr>
              <w:t xml:space="preserve">Monthly </w:t>
            </w:r>
          </w:p>
          <w:p w:rsidR="004E7D78" w:rsidRPr="00370DB8" w:rsidRDefault="00E83761" w:rsidP="00E83761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4E7D78" w:rsidRPr="00370DB8">
              <w:rPr>
                <w:lang w:val="en-GB"/>
              </w:rPr>
              <w:t>nnual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T+60 days</w:t>
            </w:r>
          </w:p>
          <w:p w:rsidR="004E7D78" w:rsidRPr="00370DB8" w:rsidRDefault="00E83761" w:rsidP="00E83761">
            <w:pPr>
              <w:rPr>
                <w:lang w:val="en-GB"/>
              </w:rPr>
            </w:pPr>
            <w:r>
              <w:rPr>
                <w:lang w:val="en-GB"/>
              </w:rPr>
              <w:t>T+ 210</w:t>
            </w:r>
            <w:r w:rsidR="004E7D78" w:rsidRPr="00370DB8">
              <w:rPr>
                <w:lang w:val="en-GB"/>
              </w:rPr>
              <w:t xml:space="preserve"> </w:t>
            </w:r>
            <w:r>
              <w:rPr>
                <w:lang w:val="en-GB"/>
              </w:rPr>
              <w:t>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Producer Price Index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Monthly</w:t>
            </w:r>
          </w:p>
        </w:tc>
        <w:tc>
          <w:tcPr>
            <w:tcW w:w="3132" w:type="dxa"/>
          </w:tcPr>
          <w:p w:rsidR="004E7D78" w:rsidRPr="00370DB8" w:rsidRDefault="00197672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T+30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Financial Soundness Indicators</w:t>
            </w: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Quarterly</w:t>
            </w: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T+90 days</w:t>
            </w: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</w:p>
        </w:tc>
        <w:tc>
          <w:tcPr>
            <w:tcW w:w="2759" w:type="dxa"/>
          </w:tcPr>
          <w:p w:rsidR="004E7D78" w:rsidRPr="00370DB8" w:rsidRDefault="004E7D78" w:rsidP="004E7D78">
            <w:pPr>
              <w:rPr>
                <w:lang w:val="en-GB"/>
              </w:rPr>
            </w:pPr>
          </w:p>
        </w:tc>
        <w:tc>
          <w:tcPr>
            <w:tcW w:w="3132" w:type="dxa"/>
          </w:tcPr>
          <w:p w:rsidR="004E7D78" w:rsidRPr="00370DB8" w:rsidRDefault="004E7D78" w:rsidP="004E7D78">
            <w:pPr>
              <w:rPr>
                <w:lang w:val="en-GB"/>
              </w:rPr>
            </w:pPr>
          </w:p>
        </w:tc>
      </w:tr>
      <w:tr w:rsidR="004E7D78" w:rsidRPr="00370DB8" w:rsidTr="00624ABC">
        <w:tc>
          <w:tcPr>
            <w:tcW w:w="3505" w:type="dxa"/>
          </w:tcPr>
          <w:p w:rsidR="004E7D78" w:rsidRPr="00370DB8" w:rsidRDefault="004E7D78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Population</w:t>
            </w:r>
          </w:p>
        </w:tc>
        <w:tc>
          <w:tcPr>
            <w:tcW w:w="2759" w:type="dxa"/>
          </w:tcPr>
          <w:p w:rsidR="004E7D78" w:rsidRPr="00370DB8" w:rsidRDefault="00E67913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Annual</w:t>
            </w:r>
          </w:p>
        </w:tc>
        <w:tc>
          <w:tcPr>
            <w:tcW w:w="3132" w:type="dxa"/>
          </w:tcPr>
          <w:p w:rsidR="004E7D78" w:rsidRPr="00370DB8" w:rsidRDefault="00E67913" w:rsidP="004E7D78">
            <w:pPr>
              <w:rPr>
                <w:lang w:val="en-GB"/>
              </w:rPr>
            </w:pPr>
            <w:r w:rsidRPr="00370DB8">
              <w:rPr>
                <w:lang w:val="en-GB"/>
              </w:rPr>
              <w:t>T+90 days</w:t>
            </w:r>
          </w:p>
        </w:tc>
      </w:tr>
      <w:tr w:rsidR="00E67913" w:rsidRPr="00370DB8" w:rsidTr="00624ABC">
        <w:tc>
          <w:tcPr>
            <w:tcW w:w="3505" w:type="dxa"/>
          </w:tcPr>
          <w:p w:rsidR="00E67913" w:rsidRPr="00370DB8" w:rsidRDefault="00E67913" w:rsidP="00197672">
            <w:pPr>
              <w:rPr>
                <w:lang w:val="en-GB"/>
              </w:rPr>
            </w:pPr>
            <w:r w:rsidRPr="00370DB8">
              <w:rPr>
                <w:lang w:val="en-GB"/>
              </w:rPr>
              <w:t>Socio-</w:t>
            </w:r>
            <w:r w:rsidR="00197672" w:rsidRPr="00370DB8">
              <w:rPr>
                <w:lang w:val="en-GB"/>
              </w:rPr>
              <w:t>Demographic</w:t>
            </w:r>
            <w:r w:rsidRPr="00370DB8">
              <w:rPr>
                <w:lang w:val="en-GB"/>
              </w:rPr>
              <w:t xml:space="preserve"> Indicators (</w:t>
            </w:r>
            <w:r w:rsidR="00197672" w:rsidRPr="00370DB8">
              <w:rPr>
                <w:lang w:val="en-GB"/>
              </w:rPr>
              <w:t>bulletin</w:t>
            </w:r>
            <w:r w:rsidRPr="00370DB8">
              <w:rPr>
                <w:lang w:val="en-GB"/>
              </w:rPr>
              <w:t>)</w:t>
            </w:r>
          </w:p>
        </w:tc>
        <w:tc>
          <w:tcPr>
            <w:tcW w:w="2759" w:type="dxa"/>
          </w:tcPr>
          <w:p w:rsidR="00E67913" w:rsidRPr="00370DB8" w:rsidRDefault="00E67913" w:rsidP="00E67913">
            <w:pPr>
              <w:rPr>
                <w:lang w:val="en-GB"/>
              </w:rPr>
            </w:pPr>
            <w:r w:rsidRPr="00370DB8">
              <w:rPr>
                <w:lang w:val="en-GB"/>
              </w:rPr>
              <w:t>Annual</w:t>
            </w:r>
          </w:p>
        </w:tc>
        <w:tc>
          <w:tcPr>
            <w:tcW w:w="3132" w:type="dxa"/>
          </w:tcPr>
          <w:p w:rsidR="00E67913" w:rsidRPr="00370DB8" w:rsidRDefault="00E67913" w:rsidP="00E67913">
            <w:pPr>
              <w:rPr>
                <w:lang w:val="en-GB"/>
              </w:rPr>
            </w:pPr>
            <w:r w:rsidRPr="00370DB8">
              <w:rPr>
                <w:lang w:val="en-GB"/>
              </w:rPr>
              <w:t>T+300 days</w:t>
            </w:r>
          </w:p>
        </w:tc>
      </w:tr>
    </w:tbl>
    <w:p w:rsidR="004846D0" w:rsidRPr="00370DB8" w:rsidRDefault="00624ABC" w:rsidP="00624ABC">
      <w:pPr>
        <w:jc w:val="center"/>
        <w:rPr>
          <w:b/>
          <w:u w:val="single"/>
          <w:lang w:val="en-GB"/>
        </w:rPr>
      </w:pPr>
      <w:r w:rsidRPr="00370DB8">
        <w:rPr>
          <w:b/>
          <w:u w:val="single"/>
          <w:lang w:val="en-GB"/>
        </w:rPr>
        <w:t xml:space="preserve">Advance Release </w:t>
      </w:r>
      <w:r w:rsidR="00370DB8" w:rsidRPr="00370DB8">
        <w:rPr>
          <w:b/>
          <w:u w:val="single"/>
          <w:lang w:val="en-GB"/>
        </w:rPr>
        <w:t>Calendar</w:t>
      </w:r>
      <w:r w:rsidRPr="00370DB8">
        <w:rPr>
          <w:b/>
          <w:u w:val="single"/>
          <w:lang w:val="en-GB"/>
        </w:rPr>
        <w:t xml:space="preserve"> for National Summary Data Page</w:t>
      </w:r>
    </w:p>
    <w:p w:rsidR="00624ABC" w:rsidRPr="00370DB8" w:rsidRDefault="00624ABC">
      <w:pPr>
        <w:rPr>
          <w:lang w:val="en-GB"/>
        </w:rPr>
      </w:pPr>
    </w:p>
    <w:p w:rsidR="00624ABC" w:rsidRPr="00370DB8" w:rsidRDefault="00624ABC">
      <w:pPr>
        <w:rPr>
          <w:lang w:val="en-GB"/>
        </w:rPr>
      </w:pPr>
    </w:p>
    <w:sectPr w:rsidR="00624ABC" w:rsidRPr="00370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70" w:rsidRDefault="00823670" w:rsidP="00624ABC">
      <w:pPr>
        <w:spacing w:after="0" w:line="240" w:lineRule="auto"/>
      </w:pPr>
      <w:r>
        <w:separator/>
      </w:r>
    </w:p>
  </w:endnote>
  <w:endnote w:type="continuationSeparator" w:id="0">
    <w:p w:rsidR="00823670" w:rsidRDefault="00823670" w:rsidP="0062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BC" w:rsidRDefault="00624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BC" w:rsidRDefault="00624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BC" w:rsidRDefault="00624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70" w:rsidRDefault="00823670" w:rsidP="00624ABC">
      <w:pPr>
        <w:spacing w:after="0" w:line="240" w:lineRule="auto"/>
      </w:pPr>
      <w:r>
        <w:separator/>
      </w:r>
    </w:p>
  </w:footnote>
  <w:footnote w:type="continuationSeparator" w:id="0">
    <w:p w:rsidR="00823670" w:rsidRDefault="00823670" w:rsidP="0062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BC" w:rsidRDefault="00624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BC" w:rsidRPr="001B59C9" w:rsidRDefault="00624ABC" w:rsidP="001B5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BC" w:rsidRDefault="00624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BA"/>
    <w:rsid w:val="000267BA"/>
    <w:rsid w:val="00143A0F"/>
    <w:rsid w:val="0017641F"/>
    <w:rsid w:val="0019428E"/>
    <w:rsid w:val="00197672"/>
    <w:rsid w:val="001B59C9"/>
    <w:rsid w:val="001C561E"/>
    <w:rsid w:val="00253F61"/>
    <w:rsid w:val="00370DB8"/>
    <w:rsid w:val="00437359"/>
    <w:rsid w:val="004846D0"/>
    <w:rsid w:val="004E7D78"/>
    <w:rsid w:val="00515F8F"/>
    <w:rsid w:val="00624ABC"/>
    <w:rsid w:val="00823670"/>
    <w:rsid w:val="00881DE8"/>
    <w:rsid w:val="00932E1D"/>
    <w:rsid w:val="00A3173A"/>
    <w:rsid w:val="00A55415"/>
    <w:rsid w:val="00A81143"/>
    <w:rsid w:val="00B70622"/>
    <w:rsid w:val="00BA5A31"/>
    <w:rsid w:val="00C80061"/>
    <w:rsid w:val="00E67913"/>
    <w:rsid w:val="00E83761"/>
    <w:rsid w:val="00F7387B"/>
    <w:rsid w:val="00F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C59A"/>
  <w15:docId w15:val="{B5AB1204-A5B3-4365-9264-0B770CDE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A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BC"/>
  </w:style>
  <w:style w:type="paragraph" w:styleId="Footer">
    <w:name w:val="footer"/>
    <w:basedOn w:val="Normal"/>
    <w:link w:val="FooterChar"/>
    <w:uiPriority w:val="99"/>
    <w:unhideWhenUsed/>
    <w:rsid w:val="00624A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BC"/>
  </w:style>
  <w:style w:type="paragraph" w:styleId="BalloonText">
    <w:name w:val="Balloon Text"/>
    <w:basedOn w:val="Normal"/>
    <w:link w:val="BalloonTextChar"/>
    <w:uiPriority w:val="99"/>
    <w:semiHidden/>
    <w:unhideWhenUsed/>
    <w:rsid w:val="00C8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Hadziomeragic</dc:creator>
  <cp:lastModifiedBy>Amir Hadziomeragic</cp:lastModifiedBy>
  <cp:revision>3</cp:revision>
  <cp:lastPrinted>2018-06-15T07:50:00Z</cp:lastPrinted>
  <dcterms:created xsi:type="dcterms:W3CDTF">2018-06-27T08:06:00Z</dcterms:created>
  <dcterms:modified xsi:type="dcterms:W3CDTF">2018-06-27T08:32:00Z</dcterms:modified>
</cp:coreProperties>
</file>