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46181" w14:textId="77777777" w:rsidR="00A541D2" w:rsidRPr="007E5EEC" w:rsidRDefault="00A541D2" w:rsidP="00131F0F">
      <w:pPr>
        <w:tabs>
          <w:tab w:val="num" w:pos="480"/>
          <w:tab w:val="left" w:pos="1985"/>
        </w:tabs>
        <w:spacing w:after="0" w:line="240" w:lineRule="auto"/>
        <w:ind w:left="180" w:hanging="480"/>
        <w:jc w:val="center"/>
        <w:outlineLvl w:val="0"/>
        <w:rPr>
          <w:rFonts w:eastAsia="Times New Roman" w:cstheme="minorHAnsi"/>
          <w:b/>
          <w:smallCaps/>
        </w:rPr>
      </w:pPr>
      <w:bookmarkStart w:id="0" w:name="_Toc21685387"/>
      <w:bookmarkStart w:id="1" w:name="_Toc21957318"/>
      <w:bookmarkStart w:id="2" w:name="_GoBack"/>
      <w:bookmarkEnd w:id="2"/>
      <w:r w:rsidRPr="007E5EEC">
        <w:rPr>
          <w:rFonts w:eastAsia="Times New Roman" w:cstheme="minorHAnsi"/>
          <w:b/>
          <w:smallCaps/>
        </w:rPr>
        <w:t>Overview of the trade in services methodology</w:t>
      </w:r>
      <w:bookmarkEnd w:id="0"/>
      <w:bookmarkEnd w:id="1"/>
    </w:p>
    <w:p w14:paraId="737D664E" w14:textId="77777777" w:rsidR="00954A18" w:rsidRPr="007E5EEC" w:rsidRDefault="00954A18" w:rsidP="00A541D2">
      <w:pPr>
        <w:tabs>
          <w:tab w:val="left" w:pos="1440"/>
        </w:tabs>
        <w:spacing w:before="120" w:after="120" w:line="276" w:lineRule="auto"/>
        <w:jc w:val="both"/>
        <w:rPr>
          <w:rFonts w:eastAsia="Times New Roman" w:cstheme="minorHAnsi"/>
          <w:lang w:eastAsia="x-none"/>
        </w:rPr>
      </w:pPr>
    </w:p>
    <w:p w14:paraId="2CCAB360" w14:textId="08B09D56" w:rsidR="00131F0F" w:rsidRPr="007E5EEC" w:rsidRDefault="00131F0F" w:rsidP="00A541D2">
      <w:pPr>
        <w:tabs>
          <w:tab w:val="left" w:pos="1440"/>
        </w:tabs>
        <w:spacing w:before="120" w:after="120" w:line="276" w:lineRule="auto"/>
        <w:jc w:val="both"/>
        <w:rPr>
          <w:rFonts w:eastAsia="Times New Roman" w:cstheme="minorHAnsi"/>
          <w:lang w:eastAsia="x-none"/>
        </w:rPr>
      </w:pPr>
      <w:r w:rsidRPr="007E5EEC">
        <w:rPr>
          <w:rFonts w:eastAsia="Times New Roman" w:cstheme="minorHAnsi"/>
          <w:lang w:eastAsia="x-none"/>
        </w:rPr>
        <w:t xml:space="preserve">The Central Bank of Bosnia and Herzegovina (hereinafter the CBBH), according to the Law on the CBBH, BH Statistics Law and according to the Memorandum signed </w:t>
      </w:r>
      <w:r w:rsidR="006540F1" w:rsidRPr="007E5EEC">
        <w:rPr>
          <w:rFonts w:eastAsia="Times New Roman" w:cstheme="minorHAnsi"/>
          <w:lang w:eastAsia="x-none"/>
        </w:rPr>
        <w:t xml:space="preserve">with </w:t>
      </w:r>
      <w:r w:rsidRPr="007E5EEC">
        <w:rPr>
          <w:rFonts w:eastAsia="Times New Roman" w:cstheme="minorHAnsi"/>
          <w:lang w:eastAsia="x-none"/>
        </w:rPr>
        <w:t>BH Agency for Statistics</w:t>
      </w:r>
      <w:r w:rsidR="008C2322">
        <w:rPr>
          <w:rFonts w:eastAsia="Times New Roman" w:cstheme="minorHAnsi"/>
          <w:lang w:eastAsia="x-none"/>
        </w:rPr>
        <w:t>,</w:t>
      </w:r>
      <w:r w:rsidR="0028124D">
        <w:rPr>
          <w:rFonts w:eastAsia="Times New Roman" w:cstheme="minorHAnsi"/>
          <w:lang w:eastAsia="x-none"/>
        </w:rPr>
        <w:t xml:space="preserve"> and </w:t>
      </w:r>
      <w:r w:rsidR="00BC7AB1">
        <w:rPr>
          <w:rFonts w:eastAsia="Times New Roman" w:cstheme="minorHAnsi"/>
          <w:lang w:eastAsia="x-none"/>
        </w:rPr>
        <w:t xml:space="preserve">in line with </w:t>
      </w:r>
      <w:r w:rsidR="0028124D">
        <w:rPr>
          <w:rFonts w:eastAsia="Times New Roman" w:cstheme="minorHAnsi"/>
          <w:lang w:eastAsia="x-none"/>
        </w:rPr>
        <w:t>Statistical Prog</w:t>
      </w:r>
      <w:r w:rsidR="00A6127E">
        <w:rPr>
          <w:rFonts w:eastAsia="Times New Roman" w:cstheme="minorHAnsi"/>
          <w:lang w:eastAsia="x-none"/>
        </w:rPr>
        <w:t>ramme of Bosnia and Herzegovina</w:t>
      </w:r>
      <w:r w:rsidRPr="007E5EEC">
        <w:rPr>
          <w:rFonts w:eastAsia="Times New Roman" w:cstheme="minorHAnsi"/>
          <w:lang w:eastAsia="x-none"/>
        </w:rPr>
        <w:t>, is the institution in charge of compili</w:t>
      </w:r>
      <w:r w:rsidR="006540F1" w:rsidRPr="007E5EEC">
        <w:rPr>
          <w:rFonts w:eastAsia="Times New Roman" w:cstheme="minorHAnsi"/>
          <w:lang w:eastAsia="x-none"/>
        </w:rPr>
        <w:t>ng</w:t>
      </w:r>
      <w:r w:rsidRPr="007E5EEC">
        <w:rPr>
          <w:rFonts w:eastAsia="Times New Roman" w:cstheme="minorHAnsi"/>
          <w:lang w:eastAsia="x-none"/>
        </w:rPr>
        <w:t xml:space="preserve"> and disseminatin</w:t>
      </w:r>
      <w:r w:rsidR="006540F1" w:rsidRPr="007E5EEC">
        <w:rPr>
          <w:rFonts w:eastAsia="Times New Roman" w:cstheme="minorHAnsi"/>
          <w:lang w:eastAsia="x-none"/>
        </w:rPr>
        <w:t>g</w:t>
      </w:r>
      <w:r w:rsidRPr="007E5EEC">
        <w:rPr>
          <w:rFonts w:eastAsia="Times New Roman" w:cstheme="minorHAnsi"/>
          <w:lang w:eastAsia="x-none"/>
        </w:rPr>
        <w:t xml:space="preserve"> </w:t>
      </w:r>
      <w:r w:rsidR="006540F1" w:rsidRPr="007E5EEC">
        <w:rPr>
          <w:rFonts w:eastAsia="Times New Roman" w:cstheme="minorHAnsi"/>
          <w:lang w:eastAsia="x-none"/>
        </w:rPr>
        <w:t xml:space="preserve">External </w:t>
      </w:r>
      <w:r w:rsidR="008C2322">
        <w:rPr>
          <w:rFonts w:eastAsia="Times New Roman" w:cstheme="minorHAnsi"/>
          <w:lang w:eastAsia="x-none"/>
        </w:rPr>
        <w:t xml:space="preserve">Sector </w:t>
      </w:r>
      <w:r w:rsidRPr="007E5EEC">
        <w:rPr>
          <w:rFonts w:eastAsia="Times New Roman" w:cstheme="minorHAnsi"/>
          <w:lang w:eastAsia="x-none"/>
        </w:rPr>
        <w:t>Statistics  for Bosnia and Herzegovina (BH).</w:t>
      </w:r>
      <w:r w:rsidR="008C2322">
        <w:rPr>
          <w:rFonts w:eastAsia="Times New Roman" w:cstheme="minorHAnsi"/>
          <w:lang w:eastAsia="x-none"/>
        </w:rPr>
        <w:t xml:space="preserve"> On</w:t>
      </w:r>
      <w:r w:rsidRPr="007E5EEC">
        <w:rPr>
          <w:rFonts w:eastAsia="Times New Roman" w:cstheme="minorHAnsi"/>
          <w:lang w:eastAsia="x-none"/>
        </w:rPr>
        <w:t xml:space="preserve"> </w:t>
      </w:r>
      <w:r w:rsidR="008C2322" w:rsidRPr="00867B3C">
        <w:rPr>
          <w:rFonts w:eastAsia="Times New Roman" w:cstheme="minorHAnsi"/>
          <w:lang w:eastAsia="x-none"/>
        </w:rPr>
        <w:t>annual basis</w:t>
      </w:r>
      <w:r w:rsidR="008C2322">
        <w:rPr>
          <w:rFonts w:eastAsia="Times New Roman" w:cstheme="minorHAnsi"/>
          <w:lang w:eastAsia="x-none"/>
        </w:rPr>
        <w:t>,</w:t>
      </w:r>
      <w:r w:rsidR="008C2322" w:rsidRPr="00867B3C">
        <w:rPr>
          <w:rFonts w:eastAsia="Times New Roman" w:cstheme="minorHAnsi"/>
          <w:lang w:eastAsia="x-none"/>
        </w:rPr>
        <w:t xml:space="preserve"> </w:t>
      </w:r>
      <w:r w:rsidR="008C2322">
        <w:rPr>
          <w:rFonts w:eastAsia="Times New Roman" w:cstheme="minorHAnsi"/>
          <w:lang w:eastAsia="x-none"/>
        </w:rPr>
        <w:t>w</w:t>
      </w:r>
      <w:r w:rsidRPr="00867B3C">
        <w:rPr>
          <w:rFonts w:eastAsia="Times New Roman" w:cstheme="minorHAnsi"/>
          <w:lang w:eastAsia="x-none"/>
        </w:rPr>
        <w:t xml:space="preserve">ithin that responsibility </w:t>
      </w:r>
      <w:r w:rsidR="0094596C" w:rsidRPr="00867B3C">
        <w:rPr>
          <w:rFonts w:eastAsia="Times New Roman" w:cstheme="minorHAnsi"/>
          <w:lang w:eastAsia="x-none"/>
        </w:rPr>
        <w:t xml:space="preserve">on </w:t>
      </w:r>
      <w:r w:rsidRPr="00867B3C">
        <w:rPr>
          <w:rFonts w:eastAsia="Times New Roman" w:cstheme="minorHAnsi"/>
          <w:lang w:eastAsia="x-none"/>
        </w:rPr>
        <w:t>the CBBH compiles and disseminates trade in services sta</w:t>
      </w:r>
      <w:r w:rsidR="00A6127E" w:rsidRPr="00867B3C">
        <w:rPr>
          <w:rFonts w:eastAsia="Times New Roman" w:cstheme="minorHAnsi"/>
          <w:lang w:eastAsia="x-none"/>
        </w:rPr>
        <w:t>tistics.</w:t>
      </w:r>
      <w:r w:rsidR="00DD5DAF" w:rsidRPr="00867B3C">
        <w:rPr>
          <w:rFonts w:eastAsia="Times New Roman" w:cstheme="minorHAnsi"/>
          <w:lang w:eastAsia="x-none"/>
        </w:rPr>
        <w:t xml:space="preserve"> Regular revision of previously published data is done in accordance with the</w:t>
      </w:r>
      <w:r w:rsidR="0094596C" w:rsidRPr="00867B3C">
        <w:rPr>
          <w:rFonts w:eastAsia="Times New Roman" w:cstheme="minorHAnsi"/>
          <w:lang w:eastAsia="x-none"/>
        </w:rPr>
        <w:t xml:space="preserve"> Eurostat revision policy that instructs revision of two years backward statistics together with compilation of statistics for the previous year</w:t>
      </w:r>
      <w:r w:rsidR="0094596C" w:rsidRPr="00BE2718">
        <w:rPr>
          <w:rFonts w:eastAsia="Times New Roman" w:cstheme="minorHAnsi"/>
          <w:lang w:eastAsia="x-none"/>
        </w:rPr>
        <w:t xml:space="preserve">. </w:t>
      </w:r>
      <w:r w:rsidR="00DD5DAF" w:rsidRPr="00BE2718">
        <w:rPr>
          <w:rFonts w:eastAsia="Times New Roman" w:cstheme="minorHAnsi"/>
          <w:lang w:eastAsia="x-none"/>
        </w:rPr>
        <w:t xml:space="preserve">Additionally, data are </w:t>
      </w:r>
      <w:r w:rsidR="0094596C" w:rsidRPr="00BE2718">
        <w:rPr>
          <w:rFonts w:eastAsia="Times New Roman" w:cstheme="minorHAnsi"/>
          <w:lang w:eastAsia="x-none"/>
        </w:rPr>
        <w:t xml:space="preserve">also </w:t>
      </w:r>
      <w:r w:rsidR="00DD5DAF" w:rsidRPr="00BE2718">
        <w:rPr>
          <w:rFonts w:eastAsia="Times New Roman" w:cstheme="minorHAnsi"/>
          <w:lang w:eastAsia="x-none"/>
        </w:rPr>
        <w:t xml:space="preserve">revised </w:t>
      </w:r>
      <w:r w:rsidR="0094596C" w:rsidRPr="00BE2718">
        <w:rPr>
          <w:rFonts w:eastAsia="Times New Roman" w:cstheme="minorHAnsi"/>
          <w:lang w:eastAsia="x-none"/>
        </w:rPr>
        <w:t xml:space="preserve">for even longer data series in the case </w:t>
      </w:r>
      <w:r w:rsidR="00DD5DAF" w:rsidRPr="00BE2718">
        <w:rPr>
          <w:rFonts w:eastAsia="Times New Roman" w:cstheme="minorHAnsi"/>
          <w:lang w:eastAsia="x-none"/>
        </w:rPr>
        <w:t>new statistical standards and concepts are introduced or major changes in methodology are made.</w:t>
      </w:r>
    </w:p>
    <w:p w14:paraId="77503939" w14:textId="0DDDC839" w:rsidR="0014218C" w:rsidRPr="007E5EEC" w:rsidRDefault="00101745" w:rsidP="00A541D2">
      <w:pPr>
        <w:tabs>
          <w:tab w:val="left" w:pos="1440"/>
        </w:tabs>
        <w:spacing w:before="120" w:after="120" w:line="276" w:lineRule="auto"/>
        <w:jc w:val="both"/>
        <w:rPr>
          <w:rFonts w:eastAsia="Times New Roman" w:cstheme="minorHAnsi"/>
          <w:lang w:eastAsia="x-none"/>
        </w:rPr>
      </w:pPr>
      <w:r w:rsidRPr="007E5EEC">
        <w:rPr>
          <w:rFonts w:eastAsia="Times New Roman" w:cstheme="minorHAnsi"/>
          <w:lang w:eastAsia="x-none"/>
        </w:rPr>
        <w:t xml:space="preserve">Compilation and dissemination of services is done according to </w:t>
      </w:r>
      <w:r w:rsidR="006540F1" w:rsidRPr="007E5EEC">
        <w:rPr>
          <w:rFonts w:eastAsia="Times New Roman" w:cstheme="minorHAnsi"/>
          <w:lang w:eastAsia="x-none"/>
        </w:rPr>
        <w:t>the</w:t>
      </w:r>
      <w:r w:rsidR="00A6127E">
        <w:rPr>
          <w:rFonts w:eastAsia="Times New Roman" w:cstheme="minorHAnsi"/>
          <w:lang w:eastAsia="x-none"/>
        </w:rPr>
        <w:t xml:space="preserve"> </w:t>
      </w:r>
      <w:r w:rsidR="003C21A5">
        <w:rPr>
          <w:rFonts w:eastAsia="Times New Roman" w:cstheme="minorHAnsi"/>
          <w:lang w:eastAsia="x-none"/>
        </w:rPr>
        <w:t xml:space="preserve">Extended Balance of Payments </w:t>
      </w:r>
      <w:r w:rsidR="00BA14D5">
        <w:rPr>
          <w:rFonts w:eastAsia="Times New Roman" w:cstheme="minorHAnsi"/>
          <w:lang w:eastAsia="x-none"/>
        </w:rPr>
        <w:t xml:space="preserve">Services </w:t>
      </w:r>
      <w:r w:rsidR="003C21A5">
        <w:rPr>
          <w:rFonts w:eastAsia="Times New Roman" w:cstheme="minorHAnsi"/>
          <w:lang w:eastAsia="x-none"/>
        </w:rPr>
        <w:t>Classification (</w:t>
      </w:r>
      <w:r w:rsidR="006540F1" w:rsidRPr="007E5EEC">
        <w:rPr>
          <w:rFonts w:eastAsia="Times New Roman" w:cstheme="minorHAnsi"/>
          <w:lang w:eastAsia="x-none"/>
        </w:rPr>
        <w:t>EBOPS 2010</w:t>
      </w:r>
      <w:r w:rsidR="003C21A5">
        <w:rPr>
          <w:rFonts w:eastAsia="Times New Roman" w:cstheme="minorHAnsi"/>
          <w:lang w:eastAsia="x-none"/>
        </w:rPr>
        <w:t>)</w:t>
      </w:r>
      <w:r w:rsidR="0028124D">
        <w:rPr>
          <w:rFonts w:eastAsia="Times New Roman" w:cstheme="minorHAnsi"/>
          <w:lang w:eastAsia="x-none"/>
        </w:rPr>
        <w:t>,</w:t>
      </w:r>
      <w:r w:rsidR="006540F1" w:rsidRPr="007E5EEC">
        <w:rPr>
          <w:rFonts w:eastAsia="Times New Roman" w:cstheme="minorHAnsi"/>
          <w:lang w:eastAsia="x-none"/>
        </w:rPr>
        <w:t xml:space="preserve"> which provides a breakdown of the Balance of Payments Trade in Services item (debit and credit) as defined in </w:t>
      </w:r>
      <w:r w:rsidR="0014218C" w:rsidRPr="007E5EEC">
        <w:rPr>
          <w:rFonts w:eastAsia="Times New Roman" w:cstheme="minorHAnsi"/>
          <w:lang w:eastAsia="x-none"/>
        </w:rPr>
        <w:t>Balance of Payments and International Investment Position Manual (BPM6)</w:t>
      </w:r>
      <w:r w:rsidR="006540F1" w:rsidRPr="007E5EEC">
        <w:rPr>
          <w:rFonts w:eastAsia="Times New Roman" w:cstheme="minorHAnsi"/>
          <w:lang w:eastAsia="x-none"/>
        </w:rPr>
        <w:t xml:space="preserve">, by types of services. The classification thereby meets a number of user requirements, including the provision of more detailed information on Trade in services as required in connection with the General Agreement on Trade in Services (GATS). </w:t>
      </w:r>
    </w:p>
    <w:p w14:paraId="5BB02742" w14:textId="77777777" w:rsidR="00131F0F" w:rsidRPr="007E5EEC" w:rsidRDefault="00131F0F" w:rsidP="00131F0F">
      <w:pPr>
        <w:autoSpaceDE w:val="0"/>
        <w:autoSpaceDN w:val="0"/>
        <w:adjustRightInd w:val="0"/>
        <w:spacing w:after="0" w:line="240" w:lineRule="auto"/>
        <w:jc w:val="both"/>
        <w:rPr>
          <w:rFonts w:eastAsia="Calibri" w:cstheme="minorHAnsi"/>
          <w:color w:val="231F20"/>
        </w:rPr>
      </w:pPr>
      <w:r w:rsidRPr="007E5EEC">
        <w:rPr>
          <w:rFonts w:eastAsia="Calibri" w:cstheme="minorHAnsi"/>
          <w:color w:val="231F20"/>
        </w:rPr>
        <w:t xml:space="preserve">In the CBBH </w:t>
      </w:r>
      <w:r w:rsidR="0014218C" w:rsidRPr="007E5EEC">
        <w:rPr>
          <w:rFonts w:eastAsia="Calibri" w:cstheme="minorHAnsi"/>
          <w:color w:val="231F20"/>
        </w:rPr>
        <w:t>external statistics</w:t>
      </w:r>
      <w:r w:rsidRPr="007E5EEC">
        <w:rPr>
          <w:rFonts w:eastAsia="Calibri" w:cstheme="minorHAnsi"/>
          <w:color w:val="231F20"/>
        </w:rPr>
        <w:t xml:space="preserve"> compilation, four primary ways of compiling data are used, and these are as follows:</w:t>
      </w:r>
    </w:p>
    <w:p w14:paraId="0FDEEA05" w14:textId="77777777" w:rsidR="00131F0F" w:rsidRPr="007E5EEC" w:rsidRDefault="00131F0F" w:rsidP="00131F0F">
      <w:pPr>
        <w:pStyle w:val="ListParagraph"/>
        <w:numPr>
          <w:ilvl w:val="0"/>
          <w:numId w:val="7"/>
        </w:numPr>
        <w:autoSpaceDE w:val="0"/>
        <w:autoSpaceDN w:val="0"/>
        <w:adjustRightInd w:val="0"/>
        <w:spacing w:after="120" w:line="240" w:lineRule="auto"/>
        <w:ind w:left="714" w:hanging="357"/>
        <w:contextualSpacing w:val="0"/>
        <w:jc w:val="both"/>
        <w:rPr>
          <w:rFonts w:eastAsia="Calibri" w:cstheme="minorHAnsi"/>
          <w:color w:val="231F20"/>
        </w:rPr>
      </w:pPr>
      <w:r w:rsidRPr="007E5EEC">
        <w:rPr>
          <w:rFonts w:eastAsia="Calibri" w:cstheme="minorHAnsi"/>
          <w:color w:val="231F20"/>
        </w:rPr>
        <w:t>Direct survey</w:t>
      </w:r>
      <w:r w:rsidR="00D758ED" w:rsidRPr="007E5EEC">
        <w:rPr>
          <w:rFonts w:eastAsia="Calibri" w:cstheme="minorHAnsi"/>
          <w:color w:val="231F20"/>
        </w:rPr>
        <w:t>s</w:t>
      </w:r>
      <w:r w:rsidRPr="007E5EEC">
        <w:rPr>
          <w:rFonts w:eastAsia="Calibri" w:cstheme="minorHAnsi"/>
          <w:color w:val="231F20"/>
        </w:rPr>
        <w:t xml:space="preserve"> (survey on direct investments, survey on trade credits and advance payments, resident transport operator services, insurance and reinsurance services, postal and telecommunication services, manufacturing services on physical inputs owned by others.) </w:t>
      </w:r>
    </w:p>
    <w:p w14:paraId="75C46987" w14:textId="0D3601E9" w:rsidR="00131F0F" w:rsidRPr="007E5EEC" w:rsidRDefault="00131F0F" w:rsidP="00131F0F">
      <w:pPr>
        <w:pStyle w:val="ListParagraph"/>
        <w:numPr>
          <w:ilvl w:val="0"/>
          <w:numId w:val="7"/>
        </w:numPr>
        <w:autoSpaceDE w:val="0"/>
        <w:autoSpaceDN w:val="0"/>
        <w:adjustRightInd w:val="0"/>
        <w:spacing w:after="120" w:line="240" w:lineRule="auto"/>
        <w:ind w:left="714" w:hanging="357"/>
        <w:contextualSpacing w:val="0"/>
        <w:jc w:val="both"/>
        <w:rPr>
          <w:rFonts w:eastAsia="Calibri" w:cstheme="minorHAnsi"/>
          <w:color w:val="231F20"/>
        </w:rPr>
      </w:pPr>
      <w:r w:rsidRPr="007E5EEC">
        <w:rPr>
          <w:rFonts w:eastAsia="Calibri" w:cstheme="minorHAnsi"/>
          <w:color w:val="231F20"/>
        </w:rPr>
        <w:t>Statistical and administrative sources of data:  statistical institution on state level (Agency for S</w:t>
      </w:r>
      <w:r w:rsidR="00667AF7">
        <w:rPr>
          <w:rFonts w:eastAsia="Calibri" w:cstheme="minorHAnsi"/>
          <w:color w:val="231F20"/>
        </w:rPr>
        <w:t>tatistics of BH-BHAS) and E</w:t>
      </w:r>
      <w:r w:rsidR="008C2322">
        <w:rPr>
          <w:rFonts w:eastAsia="Calibri" w:cstheme="minorHAnsi"/>
          <w:color w:val="231F20"/>
        </w:rPr>
        <w:t>ntities</w:t>
      </w:r>
      <w:r w:rsidR="00667AF7">
        <w:rPr>
          <w:rFonts w:eastAsia="Calibri" w:cstheme="minorHAnsi"/>
          <w:color w:val="231F20"/>
        </w:rPr>
        <w:t xml:space="preserve"> statistics institutes</w:t>
      </w:r>
      <w:r w:rsidRPr="007E5EEC">
        <w:rPr>
          <w:rFonts w:eastAsia="Calibri" w:cstheme="minorHAnsi"/>
          <w:color w:val="231F20"/>
        </w:rPr>
        <w:t xml:space="preserve"> (Institute for Statistics of Federation of BH, Republika Srpska Institute of Statistics), various BH state ministries,</w:t>
      </w:r>
      <w:r w:rsidR="00667AF7">
        <w:rPr>
          <w:rFonts w:eastAsia="Calibri" w:cstheme="minorHAnsi"/>
          <w:color w:val="231F20"/>
        </w:rPr>
        <w:t xml:space="preserve"> Entities</w:t>
      </w:r>
      <w:r w:rsidRPr="007E5EEC">
        <w:rPr>
          <w:rFonts w:eastAsia="Calibri" w:cstheme="minorHAnsi"/>
          <w:color w:val="231F20"/>
        </w:rPr>
        <w:t xml:space="preserve"> pension funds, statistical bureaus of the countries from the region, embassies and international organizations in BH, and publications of the ECB, the Bank for International Settlements (BIS), OECD, European Union Force (EUFOR) and </w:t>
      </w:r>
      <w:r w:rsidR="00846F42">
        <w:rPr>
          <w:rFonts w:eastAsia="Calibri" w:cstheme="minorHAnsi"/>
          <w:color w:val="231F20"/>
        </w:rPr>
        <w:t>MTOs</w:t>
      </w:r>
      <w:r w:rsidRPr="007E5EEC">
        <w:rPr>
          <w:rFonts w:eastAsia="Calibri" w:cstheme="minorHAnsi"/>
          <w:color w:val="231F20"/>
        </w:rPr>
        <w:t xml:space="preserve">.  </w:t>
      </w:r>
    </w:p>
    <w:p w14:paraId="0B11443A" w14:textId="0999AA13" w:rsidR="00131F0F" w:rsidRPr="007E5EEC" w:rsidRDefault="00131F0F" w:rsidP="00131F0F">
      <w:pPr>
        <w:pStyle w:val="ListParagraph"/>
        <w:numPr>
          <w:ilvl w:val="0"/>
          <w:numId w:val="7"/>
        </w:numPr>
        <w:autoSpaceDE w:val="0"/>
        <w:autoSpaceDN w:val="0"/>
        <w:adjustRightInd w:val="0"/>
        <w:spacing w:after="120" w:line="240" w:lineRule="auto"/>
        <w:ind w:left="714" w:hanging="357"/>
        <w:contextualSpacing w:val="0"/>
        <w:jc w:val="both"/>
        <w:rPr>
          <w:rFonts w:eastAsia="Calibri" w:cstheme="minorHAnsi"/>
          <w:color w:val="231F20"/>
        </w:rPr>
      </w:pPr>
      <w:r w:rsidRPr="007E5EEC">
        <w:rPr>
          <w:rFonts w:eastAsia="Calibri" w:cstheme="minorHAnsi"/>
          <w:color w:val="231F20"/>
        </w:rPr>
        <w:t>Statistics compiled in the CBBH (statistics of monetary and financial sector, government finance</w:t>
      </w:r>
      <w:r w:rsidR="00846F42">
        <w:rPr>
          <w:rFonts w:eastAsia="Calibri" w:cstheme="minorHAnsi"/>
          <w:color w:val="231F20"/>
        </w:rPr>
        <w:t xml:space="preserve"> statistics and from departments for:</w:t>
      </w:r>
      <w:r w:rsidRPr="007E5EEC">
        <w:rPr>
          <w:rFonts w:eastAsia="Calibri" w:cstheme="minorHAnsi"/>
          <w:color w:val="231F20"/>
        </w:rPr>
        <w:t xml:space="preserve"> banking, </w:t>
      </w:r>
      <w:r w:rsidR="00667AF7">
        <w:rPr>
          <w:rFonts w:eastAsia="Calibri" w:cstheme="minorHAnsi"/>
          <w:color w:val="231F20"/>
        </w:rPr>
        <w:t>cash management</w:t>
      </w:r>
      <w:r w:rsidRPr="007E5EEC">
        <w:rPr>
          <w:rFonts w:eastAsia="Calibri" w:cstheme="minorHAnsi"/>
          <w:color w:val="231F20"/>
        </w:rPr>
        <w:t xml:space="preserve">, monitoring and analyses and accounting)  </w:t>
      </w:r>
    </w:p>
    <w:p w14:paraId="30731301" w14:textId="132A1476" w:rsidR="00131F0F" w:rsidRPr="007E5EEC" w:rsidRDefault="00131F0F" w:rsidP="00A541D2">
      <w:pPr>
        <w:pStyle w:val="ListParagraph"/>
        <w:numPr>
          <w:ilvl w:val="0"/>
          <w:numId w:val="7"/>
        </w:numPr>
        <w:autoSpaceDE w:val="0"/>
        <w:autoSpaceDN w:val="0"/>
        <w:adjustRightInd w:val="0"/>
        <w:spacing w:after="0" w:line="240" w:lineRule="auto"/>
        <w:ind w:left="714" w:hanging="357"/>
        <w:contextualSpacing w:val="0"/>
        <w:jc w:val="both"/>
        <w:rPr>
          <w:rFonts w:eastAsia="Calibri" w:cstheme="minorHAnsi"/>
          <w:color w:val="231F20"/>
        </w:rPr>
      </w:pPr>
      <w:r w:rsidRPr="007E5EEC">
        <w:rPr>
          <w:rFonts w:eastAsia="Calibri" w:cstheme="minorHAnsi"/>
          <w:color w:val="231F20"/>
        </w:rPr>
        <w:t xml:space="preserve">ITRS (International Transactions Recording System) – reports of </w:t>
      </w:r>
      <w:r w:rsidR="00846F42">
        <w:rPr>
          <w:rFonts w:eastAsia="Calibri" w:cstheme="minorHAnsi"/>
          <w:color w:val="231F20"/>
        </w:rPr>
        <w:t xml:space="preserve">resident </w:t>
      </w:r>
      <w:r w:rsidRPr="007E5EEC">
        <w:rPr>
          <w:rFonts w:eastAsia="Calibri" w:cstheme="minorHAnsi"/>
          <w:color w:val="231F20"/>
        </w:rPr>
        <w:t xml:space="preserve">commercial banks on the payment and </w:t>
      </w:r>
      <w:r w:rsidR="00926073">
        <w:rPr>
          <w:rFonts w:eastAsia="Calibri" w:cstheme="minorHAnsi"/>
          <w:color w:val="231F20"/>
        </w:rPr>
        <w:t>receipts</w:t>
      </w:r>
      <w:r w:rsidR="00926073" w:rsidRPr="007E5EEC">
        <w:rPr>
          <w:rFonts w:eastAsia="Calibri" w:cstheme="minorHAnsi"/>
          <w:color w:val="231F20"/>
        </w:rPr>
        <w:t xml:space="preserve"> </w:t>
      </w:r>
      <w:r w:rsidRPr="007E5EEC">
        <w:rPr>
          <w:rFonts w:eastAsia="Calibri" w:cstheme="minorHAnsi"/>
          <w:color w:val="231F20"/>
        </w:rPr>
        <w:t xml:space="preserve">transactions performed by banks for their clients towards non-residents. </w:t>
      </w:r>
      <w:r w:rsidR="00846F42">
        <w:rPr>
          <w:rFonts w:eastAsia="Calibri" w:cstheme="minorHAnsi"/>
          <w:color w:val="231F20"/>
        </w:rPr>
        <w:t>Resident</w:t>
      </w:r>
      <w:r w:rsidRPr="007E5EEC">
        <w:rPr>
          <w:rFonts w:eastAsia="Calibri" w:cstheme="minorHAnsi"/>
          <w:color w:val="231F20"/>
        </w:rPr>
        <w:t xml:space="preserve"> deposit taking corporations (DTC) report as aggregated amounts on all operations (payment/receipts) which are carried out between residents and non–residents on </w:t>
      </w:r>
      <w:r w:rsidR="00667AF7">
        <w:rPr>
          <w:rFonts w:eastAsia="Calibri" w:cstheme="minorHAnsi"/>
          <w:color w:val="231F20"/>
        </w:rPr>
        <w:t xml:space="preserve">behalf </w:t>
      </w:r>
      <w:r w:rsidRPr="007E5EEC">
        <w:rPr>
          <w:rFonts w:eastAsia="Calibri" w:cstheme="minorHAnsi"/>
          <w:color w:val="231F20"/>
        </w:rPr>
        <w:t>of their clients. The DTC report consists of aggregated monthly data</w:t>
      </w:r>
      <w:r w:rsidR="00846F42">
        <w:rPr>
          <w:rFonts w:eastAsia="Calibri" w:cstheme="minorHAnsi"/>
          <w:color w:val="231F20"/>
        </w:rPr>
        <w:t xml:space="preserve"> by </w:t>
      </w:r>
      <w:r w:rsidR="00F44333">
        <w:rPr>
          <w:rFonts w:eastAsia="Calibri" w:cstheme="minorHAnsi"/>
          <w:color w:val="231F20"/>
        </w:rPr>
        <w:t xml:space="preserve">service </w:t>
      </w:r>
      <w:r w:rsidR="00846F42">
        <w:rPr>
          <w:rFonts w:eastAsia="Calibri" w:cstheme="minorHAnsi"/>
          <w:color w:val="231F20"/>
        </w:rPr>
        <w:t>categories</w:t>
      </w:r>
      <w:r w:rsidRPr="007E5EEC">
        <w:rPr>
          <w:rFonts w:eastAsia="Calibri" w:cstheme="minorHAnsi"/>
          <w:color w:val="231F20"/>
        </w:rPr>
        <w:t>, but not individual data of clients</w:t>
      </w:r>
      <w:r w:rsidR="00D758ED" w:rsidRPr="007E5EEC">
        <w:rPr>
          <w:rFonts w:eastAsia="Calibri" w:cstheme="minorHAnsi"/>
          <w:color w:val="231F20"/>
        </w:rPr>
        <w:t>.</w:t>
      </w:r>
      <w:r w:rsidR="00F44333">
        <w:rPr>
          <w:rFonts w:eastAsia="Calibri" w:cstheme="minorHAnsi"/>
          <w:color w:val="231F20"/>
        </w:rPr>
        <w:t xml:space="preserve"> </w:t>
      </w:r>
    </w:p>
    <w:p w14:paraId="49ACCE1A" w14:textId="77777777" w:rsidR="00D758ED" w:rsidRPr="007E5EEC" w:rsidRDefault="00D758ED" w:rsidP="00D758ED">
      <w:pPr>
        <w:pStyle w:val="ListParagraph"/>
        <w:autoSpaceDE w:val="0"/>
        <w:autoSpaceDN w:val="0"/>
        <w:adjustRightInd w:val="0"/>
        <w:spacing w:after="0" w:line="240" w:lineRule="auto"/>
        <w:ind w:left="714"/>
        <w:contextualSpacing w:val="0"/>
        <w:jc w:val="both"/>
        <w:rPr>
          <w:rFonts w:eastAsia="Calibri" w:cstheme="minorHAnsi"/>
          <w:color w:val="231F20"/>
        </w:rPr>
      </w:pPr>
    </w:p>
    <w:p w14:paraId="056B92E4" w14:textId="6A653E25" w:rsidR="00561F09" w:rsidRDefault="00131F0F" w:rsidP="00954A18">
      <w:pPr>
        <w:autoSpaceDE w:val="0"/>
        <w:autoSpaceDN w:val="0"/>
        <w:adjustRightInd w:val="0"/>
        <w:spacing w:after="0" w:line="240" w:lineRule="auto"/>
        <w:jc w:val="both"/>
        <w:rPr>
          <w:rFonts w:eastAsia="Calibri" w:cstheme="minorHAnsi"/>
          <w:color w:val="231F20"/>
        </w:rPr>
      </w:pPr>
      <w:r w:rsidRPr="007E5EEC">
        <w:rPr>
          <w:rFonts w:eastAsia="Calibri" w:cstheme="minorHAnsi"/>
          <w:color w:val="231F20"/>
        </w:rPr>
        <w:t>Conceptual Framework</w:t>
      </w:r>
      <w:r w:rsidRPr="004E4C25">
        <w:rPr>
          <w:rFonts w:eastAsia="Calibri" w:cstheme="minorHAnsi"/>
          <w:color w:val="231F20"/>
        </w:rPr>
        <w:t xml:space="preserve">: The </w:t>
      </w:r>
      <w:r w:rsidR="004E4C25" w:rsidRPr="004E4C25">
        <w:rPr>
          <w:rFonts w:eastAsia="Calibri" w:cstheme="minorHAnsi"/>
          <w:color w:val="231F20"/>
        </w:rPr>
        <w:t>time of r</w:t>
      </w:r>
      <w:r w:rsidR="007334C8" w:rsidRPr="004E4C25">
        <w:rPr>
          <w:rFonts w:eastAsia="Calibri" w:cstheme="minorHAnsi"/>
          <w:color w:val="231F20"/>
        </w:rPr>
        <w:t xml:space="preserve">ecording </w:t>
      </w:r>
      <w:r w:rsidR="004E4C25" w:rsidRPr="004E4C25">
        <w:rPr>
          <w:rFonts w:eastAsia="Calibri" w:cstheme="minorHAnsi"/>
          <w:color w:val="231F20"/>
        </w:rPr>
        <w:t>o</w:t>
      </w:r>
      <w:r w:rsidRPr="004E4C25">
        <w:rPr>
          <w:rFonts w:eastAsia="Calibri" w:cstheme="minorHAnsi"/>
          <w:color w:val="231F20"/>
        </w:rPr>
        <w:t xml:space="preserve">f service </w:t>
      </w:r>
      <w:r w:rsidR="007334C8" w:rsidRPr="004E4C25">
        <w:rPr>
          <w:rFonts w:eastAsia="Calibri" w:cstheme="minorHAnsi"/>
          <w:color w:val="231F20"/>
        </w:rPr>
        <w:t xml:space="preserve">transaction </w:t>
      </w:r>
      <w:r w:rsidRPr="004E4C25">
        <w:rPr>
          <w:rFonts w:eastAsia="Calibri" w:cstheme="minorHAnsi"/>
          <w:color w:val="231F20"/>
        </w:rPr>
        <w:t>entries</w:t>
      </w:r>
      <w:r w:rsidRPr="007E5EEC">
        <w:rPr>
          <w:rFonts w:eastAsia="Calibri" w:cstheme="minorHAnsi"/>
          <w:color w:val="231F20"/>
        </w:rPr>
        <w:t xml:space="preserve"> is the time at which the service is delivered (for more details see the paragraph 3.47, BPM6). </w:t>
      </w:r>
      <w:r w:rsidR="0014218C" w:rsidRPr="007E5EEC">
        <w:rPr>
          <w:rFonts w:eastAsia="Calibri" w:cstheme="minorHAnsi"/>
          <w:color w:val="231F20"/>
        </w:rPr>
        <w:t xml:space="preserve">EBOPS 2010 is a primarily product-based classification of types of services, </w:t>
      </w:r>
      <w:r w:rsidR="00116736" w:rsidRPr="007E5EEC">
        <w:rPr>
          <w:rFonts w:eastAsia="Calibri" w:cstheme="minorHAnsi"/>
          <w:color w:val="231F20"/>
        </w:rPr>
        <w:t>h</w:t>
      </w:r>
      <w:r w:rsidR="0014218C" w:rsidRPr="007E5EEC">
        <w:rPr>
          <w:rFonts w:eastAsia="Calibri" w:cstheme="minorHAnsi"/>
          <w:color w:val="231F20"/>
        </w:rPr>
        <w:t>owever, the classifi</w:t>
      </w:r>
      <w:r w:rsidR="007334C8">
        <w:rPr>
          <w:rFonts w:eastAsia="Calibri" w:cstheme="minorHAnsi"/>
          <w:color w:val="231F20"/>
        </w:rPr>
        <w:t>cation also includes transactor</w:t>
      </w:r>
      <w:r w:rsidR="0014218C" w:rsidRPr="007E5EEC">
        <w:rPr>
          <w:rFonts w:eastAsia="Calibri" w:cstheme="minorHAnsi"/>
          <w:color w:val="231F20"/>
        </w:rPr>
        <w:t xml:space="preserve">-based criteria (for example, Travel, </w:t>
      </w:r>
      <w:r w:rsidR="00593380">
        <w:rPr>
          <w:rFonts w:eastAsia="Calibri" w:cstheme="minorHAnsi"/>
          <w:color w:val="231F20"/>
        </w:rPr>
        <w:t xml:space="preserve">Construction and </w:t>
      </w:r>
      <w:r w:rsidR="0014218C" w:rsidRPr="007E5EEC">
        <w:rPr>
          <w:rFonts w:eastAsia="Calibri" w:cstheme="minorHAnsi"/>
          <w:color w:val="231F20"/>
        </w:rPr>
        <w:t xml:space="preserve">Government </w:t>
      </w:r>
      <w:r w:rsidR="00593380">
        <w:rPr>
          <w:rFonts w:eastAsia="Calibri" w:cstheme="minorHAnsi"/>
          <w:color w:val="231F20"/>
        </w:rPr>
        <w:t xml:space="preserve">goods and </w:t>
      </w:r>
      <w:r w:rsidR="0014218C" w:rsidRPr="007E5EEC">
        <w:rPr>
          <w:rFonts w:eastAsia="Calibri" w:cstheme="minorHAnsi"/>
          <w:color w:val="231F20"/>
        </w:rPr>
        <w:t>services</w:t>
      </w:r>
      <w:r w:rsidR="0014218C" w:rsidRPr="00593380">
        <w:rPr>
          <w:rFonts w:eastAsia="Calibri" w:cstheme="minorHAnsi"/>
          <w:color w:val="231F20"/>
        </w:rPr>
        <w:t>).</w:t>
      </w:r>
      <w:r w:rsidR="0014218C" w:rsidRPr="007E5EEC">
        <w:rPr>
          <w:rFonts w:eastAsia="Calibri" w:cstheme="minorHAnsi"/>
          <w:color w:val="231F20"/>
        </w:rPr>
        <w:t xml:space="preserve"> The classifications cover cross-border services provided to other countries and services rendered from other countries categorised in </w:t>
      </w:r>
      <w:r w:rsidR="001D5DB4" w:rsidRPr="007E5EEC">
        <w:rPr>
          <w:rFonts w:eastAsia="Calibri" w:cstheme="minorHAnsi"/>
          <w:color w:val="231F20"/>
        </w:rPr>
        <w:t>twelve main service components</w:t>
      </w:r>
      <w:r w:rsidR="009C3374" w:rsidRPr="007E5EEC">
        <w:rPr>
          <w:rFonts w:eastAsia="Calibri" w:cstheme="minorHAnsi"/>
          <w:color w:val="231F20"/>
        </w:rPr>
        <w:t xml:space="preserve"> as follows</w:t>
      </w:r>
      <w:r w:rsidR="001D5DB4" w:rsidRPr="007E5EEC">
        <w:rPr>
          <w:rFonts w:eastAsia="Calibri" w:cstheme="minorHAnsi"/>
          <w:color w:val="231F20"/>
        </w:rPr>
        <w:t>:</w:t>
      </w:r>
    </w:p>
    <w:p w14:paraId="1973FC58" w14:textId="77777777" w:rsidR="00867B3C" w:rsidRDefault="00867B3C" w:rsidP="00954A18">
      <w:pPr>
        <w:autoSpaceDE w:val="0"/>
        <w:autoSpaceDN w:val="0"/>
        <w:adjustRightInd w:val="0"/>
        <w:spacing w:after="0" w:line="240" w:lineRule="auto"/>
        <w:jc w:val="both"/>
        <w:rPr>
          <w:rFonts w:eastAsia="Calibri" w:cstheme="minorHAnsi"/>
          <w:color w:val="231F20"/>
        </w:rPr>
      </w:pPr>
    </w:p>
    <w:p w14:paraId="11A47105" w14:textId="77777777" w:rsidR="00867B3C" w:rsidRPr="007E5EEC" w:rsidRDefault="00867B3C" w:rsidP="00954A18">
      <w:pPr>
        <w:autoSpaceDE w:val="0"/>
        <w:autoSpaceDN w:val="0"/>
        <w:adjustRightInd w:val="0"/>
        <w:spacing w:after="0" w:line="240" w:lineRule="auto"/>
        <w:jc w:val="both"/>
        <w:rPr>
          <w:rFonts w:eastAsia="Calibri" w:cstheme="minorHAnsi"/>
          <w:color w:val="231F20"/>
        </w:rPr>
      </w:pPr>
    </w:p>
    <w:p w14:paraId="0AEEE755" w14:textId="77777777" w:rsidR="003308EA" w:rsidRDefault="003308EA" w:rsidP="00954A18">
      <w:pPr>
        <w:autoSpaceDE w:val="0"/>
        <w:autoSpaceDN w:val="0"/>
        <w:adjustRightInd w:val="0"/>
        <w:spacing w:after="0" w:line="240" w:lineRule="auto"/>
        <w:jc w:val="both"/>
        <w:rPr>
          <w:rFonts w:eastAsia="Calibri" w:cstheme="minorHAnsi"/>
          <w:color w:val="231F20"/>
        </w:rPr>
      </w:pPr>
    </w:p>
    <w:p w14:paraId="0A2D6BB1" w14:textId="77777777" w:rsidR="00A541D2" w:rsidRPr="007E5EEC" w:rsidRDefault="00A541D2" w:rsidP="00A541D2">
      <w:pPr>
        <w:pStyle w:val="Heading2"/>
        <w:keepNext w:val="0"/>
        <w:spacing w:before="120" w:after="120"/>
        <w:jc w:val="both"/>
        <w:rPr>
          <w:rFonts w:asciiTheme="minorHAnsi" w:hAnsiTheme="minorHAnsi" w:cstheme="minorHAnsi"/>
          <w:sz w:val="22"/>
          <w:szCs w:val="22"/>
        </w:rPr>
      </w:pPr>
      <w:bookmarkStart w:id="3" w:name="_Toc21685389"/>
      <w:bookmarkStart w:id="4" w:name="_Toc21957320"/>
      <w:r w:rsidRPr="007E5EEC">
        <w:rPr>
          <w:rFonts w:asciiTheme="minorHAnsi" w:hAnsiTheme="minorHAnsi" w:cstheme="minorHAnsi"/>
          <w:sz w:val="22"/>
          <w:szCs w:val="22"/>
        </w:rPr>
        <w:t>Manufacturing services on physical inputs owned by others</w:t>
      </w:r>
      <w:bookmarkEnd w:id="3"/>
      <w:bookmarkEnd w:id="4"/>
    </w:p>
    <w:p w14:paraId="0B89278A" w14:textId="77777777" w:rsidR="00A541D2" w:rsidRPr="007E5EEC" w:rsidRDefault="00A541D2" w:rsidP="00A541D2">
      <w:pPr>
        <w:spacing w:before="120" w:after="120" w:line="276" w:lineRule="auto"/>
        <w:jc w:val="both"/>
        <w:rPr>
          <w:rFonts w:eastAsia="Calibri" w:cstheme="minorHAnsi"/>
        </w:rPr>
      </w:pPr>
      <w:r w:rsidRPr="007E5EEC">
        <w:rPr>
          <w:rFonts w:eastAsia="Calibri" w:cstheme="minorHAnsi"/>
        </w:rPr>
        <w:t xml:space="preserve">Manufacturing services on physical inputs owned by others cover processing, assembly, </w:t>
      </w:r>
      <w:r w:rsidR="0014218C" w:rsidRPr="007E5EEC">
        <w:rPr>
          <w:rFonts w:eastAsia="Calibri" w:cstheme="minorHAnsi"/>
        </w:rPr>
        <w:t>labelling</w:t>
      </w:r>
      <w:r w:rsidRPr="007E5EEC">
        <w:rPr>
          <w:rFonts w:eastAsia="Calibri" w:cstheme="minorHAnsi"/>
        </w:rPr>
        <w:t>, packing, and so forth undertaken by enterprises that do not own the goods concerned.</w:t>
      </w:r>
    </w:p>
    <w:p w14:paraId="27BEA27D" w14:textId="77777777" w:rsidR="00A541D2" w:rsidRDefault="00116736" w:rsidP="00A541D2">
      <w:pPr>
        <w:spacing w:before="120" w:after="120" w:line="276" w:lineRule="auto"/>
        <w:jc w:val="both"/>
        <w:rPr>
          <w:rFonts w:eastAsia="Calibri" w:cstheme="minorHAnsi"/>
        </w:rPr>
      </w:pPr>
      <w:r w:rsidRPr="007E5EEC">
        <w:rPr>
          <w:rFonts w:eastAsia="Calibri" w:cstheme="minorHAnsi"/>
        </w:rPr>
        <w:t>Data are collected annually through surveys conducted on all enterprises. The list of companies engaged in the processing of goods owned by non-residents is provided by customs.</w:t>
      </w:r>
    </w:p>
    <w:p w14:paraId="725F55DA" w14:textId="5739C44D" w:rsidR="00A541D2" w:rsidRPr="007E5EEC" w:rsidRDefault="00A541D2" w:rsidP="00A541D2">
      <w:pPr>
        <w:pStyle w:val="Heading2"/>
        <w:keepNext w:val="0"/>
        <w:tabs>
          <w:tab w:val="num" w:pos="766"/>
        </w:tabs>
        <w:spacing w:before="120" w:after="120"/>
        <w:jc w:val="both"/>
        <w:rPr>
          <w:rFonts w:asciiTheme="minorHAnsi" w:hAnsiTheme="minorHAnsi" w:cstheme="minorHAnsi"/>
          <w:sz w:val="22"/>
          <w:szCs w:val="22"/>
        </w:rPr>
      </w:pPr>
      <w:bookmarkStart w:id="5" w:name="_Toc21685390"/>
      <w:bookmarkStart w:id="6" w:name="_Toc21957321"/>
      <w:r w:rsidRPr="007E5EEC">
        <w:rPr>
          <w:rFonts w:asciiTheme="minorHAnsi" w:hAnsiTheme="minorHAnsi" w:cstheme="minorHAnsi"/>
          <w:sz w:val="22"/>
          <w:szCs w:val="22"/>
        </w:rPr>
        <w:t>Maintenance and repair services</w:t>
      </w:r>
      <w:r w:rsidR="00BA14D5">
        <w:rPr>
          <w:rFonts w:asciiTheme="minorHAnsi" w:hAnsiTheme="minorHAnsi" w:cstheme="minorHAnsi"/>
          <w:sz w:val="22"/>
          <w:szCs w:val="22"/>
        </w:rPr>
        <w:t xml:space="preserve"> not included elsewhere</w:t>
      </w:r>
      <w:r w:rsidR="00FC3D3F">
        <w:rPr>
          <w:rFonts w:asciiTheme="minorHAnsi" w:hAnsiTheme="minorHAnsi" w:cstheme="minorHAnsi"/>
          <w:sz w:val="22"/>
          <w:szCs w:val="22"/>
        </w:rPr>
        <w:t xml:space="preserve"> (</w:t>
      </w:r>
      <w:r w:rsidRPr="007E5EEC">
        <w:rPr>
          <w:rFonts w:asciiTheme="minorHAnsi" w:hAnsiTheme="minorHAnsi" w:cstheme="minorHAnsi"/>
          <w:sz w:val="22"/>
          <w:szCs w:val="22"/>
        </w:rPr>
        <w:t>n.i.e.</w:t>
      </w:r>
      <w:bookmarkEnd w:id="5"/>
      <w:bookmarkEnd w:id="6"/>
      <w:r w:rsidR="00FC3D3F">
        <w:rPr>
          <w:rFonts w:asciiTheme="minorHAnsi" w:hAnsiTheme="minorHAnsi" w:cstheme="minorHAnsi"/>
          <w:sz w:val="22"/>
          <w:szCs w:val="22"/>
        </w:rPr>
        <w:t>)</w:t>
      </w:r>
    </w:p>
    <w:p w14:paraId="4E6D85CE" w14:textId="1E3D9257" w:rsidR="00A541D2" w:rsidRPr="007E5EEC" w:rsidRDefault="00A541D2" w:rsidP="00A541D2">
      <w:pPr>
        <w:spacing w:before="120" w:after="120" w:line="276" w:lineRule="auto"/>
        <w:jc w:val="both"/>
        <w:rPr>
          <w:rFonts w:cstheme="minorHAnsi"/>
        </w:rPr>
      </w:pPr>
      <w:r w:rsidRPr="007E5EEC">
        <w:rPr>
          <w:rFonts w:cstheme="minorHAnsi"/>
        </w:rPr>
        <w:t>Maintenance and repair services</w:t>
      </w:r>
      <w:r w:rsidR="00AE32F0">
        <w:rPr>
          <w:rFonts w:cstheme="minorHAnsi"/>
        </w:rPr>
        <w:t>,</w:t>
      </w:r>
      <w:r w:rsidRPr="007E5EEC">
        <w:rPr>
          <w:rFonts w:cstheme="minorHAnsi"/>
        </w:rPr>
        <w:t xml:space="preserve"> n.i.e.</w:t>
      </w:r>
      <w:r w:rsidR="00AE32F0">
        <w:rPr>
          <w:rFonts w:cstheme="minorHAnsi"/>
        </w:rPr>
        <w:t>,</w:t>
      </w:r>
      <w:r w:rsidRPr="007E5EEC">
        <w:rPr>
          <w:rFonts w:cstheme="minorHAnsi"/>
        </w:rPr>
        <w:t xml:space="preserve"> cover maintenance and repair work by residents on goods that are owned by non</w:t>
      </w:r>
      <w:r w:rsidR="000233F3" w:rsidRPr="007E5EEC">
        <w:rPr>
          <w:rFonts w:cstheme="minorHAnsi"/>
        </w:rPr>
        <w:t>-</w:t>
      </w:r>
      <w:r w:rsidRPr="007E5EEC">
        <w:rPr>
          <w:rFonts w:cstheme="minorHAnsi"/>
        </w:rPr>
        <w:t>residents (and vice versa). The repairs may be performed at the site of the repairer or elsewhere. Repairs and maintenance on ships, aircraft, and other transport equipment are included in this item.</w:t>
      </w:r>
    </w:p>
    <w:p w14:paraId="5AB3022E" w14:textId="77777777" w:rsidR="00A541D2" w:rsidRPr="007E5EEC" w:rsidRDefault="003308EA" w:rsidP="00A541D2">
      <w:pPr>
        <w:spacing w:before="120" w:after="120" w:line="276" w:lineRule="auto"/>
        <w:jc w:val="both"/>
        <w:rPr>
          <w:rFonts w:cstheme="minorHAnsi"/>
        </w:rPr>
      </w:pPr>
      <w:r w:rsidRPr="007E5EEC">
        <w:rPr>
          <w:rFonts w:cstheme="minorHAnsi"/>
        </w:rPr>
        <w:t>Data on maintenance and repair services are obtained from the ITRS survey and from the annual survey of resident transport operators.</w:t>
      </w:r>
      <w:r w:rsidR="00A541D2" w:rsidRPr="007E5EEC">
        <w:rPr>
          <w:rFonts w:cstheme="minorHAnsi"/>
        </w:rPr>
        <w:t xml:space="preserve"> </w:t>
      </w:r>
    </w:p>
    <w:p w14:paraId="20679074" w14:textId="77777777" w:rsidR="00A541D2" w:rsidRPr="007E5EEC" w:rsidRDefault="00A541D2" w:rsidP="00A541D2">
      <w:pPr>
        <w:pStyle w:val="Heading2"/>
        <w:keepNext w:val="0"/>
        <w:tabs>
          <w:tab w:val="num" w:pos="766"/>
        </w:tabs>
        <w:spacing w:before="120" w:after="120"/>
        <w:jc w:val="both"/>
        <w:rPr>
          <w:rFonts w:asciiTheme="minorHAnsi" w:hAnsiTheme="minorHAnsi" w:cstheme="minorHAnsi"/>
          <w:sz w:val="22"/>
          <w:szCs w:val="22"/>
        </w:rPr>
      </w:pPr>
      <w:bookmarkStart w:id="7" w:name="_Toc21685391"/>
      <w:bookmarkStart w:id="8" w:name="_Toc21957322"/>
      <w:r w:rsidRPr="007E5EEC">
        <w:rPr>
          <w:rFonts w:asciiTheme="minorHAnsi" w:hAnsiTheme="minorHAnsi" w:cstheme="minorHAnsi"/>
          <w:sz w:val="22"/>
          <w:szCs w:val="22"/>
        </w:rPr>
        <w:t>Transport</w:t>
      </w:r>
      <w:bookmarkEnd w:id="7"/>
      <w:bookmarkEnd w:id="8"/>
      <w:r w:rsidRPr="007E5EEC">
        <w:rPr>
          <w:rFonts w:asciiTheme="minorHAnsi" w:hAnsiTheme="minorHAnsi" w:cstheme="minorHAnsi"/>
          <w:sz w:val="22"/>
          <w:szCs w:val="22"/>
        </w:rPr>
        <w:t xml:space="preserve"> </w:t>
      </w:r>
    </w:p>
    <w:p w14:paraId="401D81A4" w14:textId="3D44D93B" w:rsidR="00A541D2" w:rsidRPr="007E5EEC" w:rsidRDefault="00A541D2" w:rsidP="00A541D2">
      <w:pPr>
        <w:spacing w:before="120" w:after="120" w:line="276" w:lineRule="auto"/>
        <w:jc w:val="both"/>
        <w:rPr>
          <w:rFonts w:cstheme="minorHAnsi"/>
        </w:rPr>
      </w:pPr>
      <w:r w:rsidRPr="007E5EEC">
        <w:rPr>
          <w:rFonts w:cstheme="minorHAnsi"/>
        </w:rPr>
        <w:t>Transportation services are classified bas</w:t>
      </w:r>
      <w:r w:rsidR="0028124D">
        <w:rPr>
          <w:rFonts w:cstheme="minorHAnsi"/>
        </w:rPr>
        <w:t>ed on</w:t>
      </w:r>
      <w:r w:rsidRPr="007E5EEC">
        <w:rPr>
          <w:rFonts w:cstheme="minorHAnsi"/>
        </w:rPr>
        <w:t xml:space="preserve"> mode of transportation (sea, air, or other</w:t>
      </w:r>
      <w:r w:rsidR="002B4466">
        <w:rPr>
          <w:rFonts w:cstheme="minorHAnsi"/>
        </w:rPr>
        <w:t>,</w:t>
      </w:r>
      <w:r w:rsidRPr="007E5EEC">
        <w:rPr>
          <w:rFonts w:cstheme="minorHAnsi"/>
        </w:rPr>
        <w:t xml:space="preserve"> which is further broken down into rail, road, </w:t>
      </w:r>
      <w:r w:rsidR="00070A8C" w:rsidRPr="007E5EEC">
        <w:rPr>
          <w:rFonts w:cstheme="minorHAnsi"/>
        </w:rPr>
        <w:t xml:space="preserve">inland </w:t>
      </w:r>
      <w:r w:rsidRPr="007E5EEC">
        <w:rPr>
          <w:rFonts w:cstheme="minorHAnsi"/>
        </w:rPr>
        <w:t xml:space="preserve">waterway, pipeline, and space transport as well as electricity transmission) </w:t>
      </w:r>
      <w:r w:rsidR="004B0E4C" w:rsidRPr="007E5EEC">
        <w:rPr>
          <w:rFonts w:cstheme="minorHAnsi"/>
        </w:rPr>
        <w:t xml:space="preserve">and </w:t>
      </w:r>
      <w:r w:rsidR="0028124D" w:rsidRPr="007E5EEC">
        <w:rPr>
          <w:rFonts w:cstheme="minorHAnsi"/>
        </w:rPr>
        <w:t>based on</w:t>
      </w:r>
      <w:r w:rsidR="004B0E4C" w:rsidRPr="007E5EEC">
        <w:rPr>
          <w:rFonts w:cstheme="minorHAnsi"/>
        </w:rPr>
        <w:t xml:space="preserve"> the type of t</w:t>
      </w:r>
      <w:r w:rsidR="00070A8C" w:rsidRPr="007E5EEC">
        <w:rPr>
          <w:rFonts w:cstheme="minorHAnsi"/>
        </w:rPr>
        <w:t>ransported goods (passenger,</w:t>
      </w:r>
      <w:r w:rsidR="004B0E4C" w:rsidRPr="007E5EEC">
        <w:rPr>
          <w:rFonts w:cstheme="minorHAnsi"/>
        </w:rPr>
        <w:t xml:space="preserve"> freight and other). Postal and courier services are included </w:t>
      </w:r>
      <w:r w:rsidR="00070A8C" w:rsidRPr="007E5EEC">
        <w:rPr>
          <w:rFonts w:cstheme="minorHAnsi"/>
        </w:rPr>
        <w:t>in this category</w:t>
      </w:r>
      <w:r w:rsidR="00A73C08">
        <w:rPr>
          <w:rFonts w:cstheme="minorHAnsi"/>
        </w:rPr>
        <w:t>,</w:t>
      </w:r>
      <w:r w:rsidR="00070A8C" w:rsidRPr="007E5EEC">
        <w:rPr>
          <w:rFonts w:cstheme="minorHAnsi"/>
        </w:rPr>
        <w:t xml:space="preserve"> </w:t>
      </w:r>
      <w:r w:rsidR="004B0E4C" w:rsidRPr="007E5EEC">
        <w:rPr>
          <w:rFonts w:cstheme="minorHAnsi"/>
        </w:rPr>
        <w:t>as well.</w:t>
      </w:r>
    </w:p>
    <w:p w14:paraId="47033FB4" w14:textId="147EDEAF" w:rsidR="00C64BB7" w:rsidRPr="007E5EEC" w:rsidRDefault="00C64BB7" w:rsidP="00C64BB7">
      <w:pPr>
        <w:spacing w:before="120" w:after="120" w:line="276" w:lineRule="auto"/>
        <w:jc w:val="both"/>
        <w:rPr>
          <w:rFonts w:cstheme="minorHAnsi"/>
        </w:rPr>
      </w:pPr>
      <w:bookmarkStart w:id="9" w:name="_Toc21685393"/>
      <w:bookmarkStart w:id="10" w:name="_Toc21957324"/>
      <w:r w:rsidRPr="007E5EEC">
        <w:rPr>
          <w:rFonts w:cstheme="minorHAnsi"/>
        </w:rPr>
        <w:t xml:space="preserve">As the data for statistics of international trade in goods are provided by </w:t>
      </w:r>
      <w:r w:rsidR="00AE32F0" w:rsidRPr="007E5EEC">
        <w:rPr>
          <w:rFonts w:cstheme="minorHAnsi"/>
        </w:rPr>
        <w:t xml:space="preserve">the </w:t>
      </w:r>
      <w:r w:rsidR="00AE32F0">
        <w:rPr>
          <w:rFonts w:cstheme="minorHAnsi"/>
        </w:rPr>
        <w:t>Agency</w:t>
      </w:r>
      <w:r w:rsidRPr="007E5EEC">
        <w:rPr>
          <w:rFonts w:cstheme="minorHAnsi"/>
        </w:rPr>
        <w:t xml:space="preserve"> for Statistics of BH (BHAS), namely c.i.f. for import and f.o.b. parity for export of goods</w:t>
      </w:r>
      <w:r w:rsidR="00995AE4" w:rsidRPr="007E5EEC">
        <w:rPr>
          <w:rFonts w:cstheme="minorHAnsi"/>
        </w:rPr>
        <w:t>,</w:t>
      </w:r>
      <w:r w:rsidRPr="007E5EEC">
        <w:rPr>
          <w:rFonts w:cstheme="minorHAnsi"/>
        </w:rPr>
        <w:t xml:space="preserve"> </w:t>
      </w:r>
      <w:r w:rsidR="00995AE4" w:rsidRPr="007E5EEC">
        <w:rPr>
          <w:rFonts w:cstheme="minorHAnsi"/>
        </w:rPr>
        <w:t>f</w:t>
      </w:r>
      <w:r w:rsidRPr="007E5EEC">
        <w:rPr>
          <w:rFonts w:cstheme="minorHAnsi"/>
        </w:rPr>
        <w:t xml:space="preserve">or BoP purposes import data should be adjusted </w:t>
      </w:r>
      <w:r w:rsidR="00995AE4" w:rsidRPr="007E5EEC">
        <w:rPr>
          <w:rFonts w:cstheme="minorHAnsi"/>
        </w:rPr>
        <w:t xml:space="preserve">to </w:t>
      </w:r>
      <w:r w:rsidRPr="007E5EEC">
        <w:rPr>
          <w:rFonts w:cstheme="minorHAnsi"/>
        </w:rPr>
        <w:t xml:space="preserve">f.o.b. parity and </w:t>
      </w:r>
      <w:r w:rsidR="00995AE4" w:rsidRPr="007E5EEC">
        <w:rPr>
          <w:rFonts w:cstheme="minorHAnsi"/>
        </w:rPr>
        <w:t>it</w:t>
      </w:r>
      <w:r w:rsidRPr="007E5EEC">
        <w:rPr>
          <w:rFonts w:cstheme="minorHAnsi"/>
        </w:rPr>
        <w:t xml:space="preserve"> is done in the CBBH.</w:t>
      </w:r>
    </w:p>
    <w:p w14:paraId="62AFAF09" w14:textId="77777777" w:rsidR="005D68D2" w:rsidRPr="007E5EEC" w:rsidRDefault="00C64BB7" w:rsidP="00C64BB7">
      <w:pPr>
        <w:pStyle w:val="ListParagraph"/>
        <w:numPr>
          <w:ilvl w:val="0"/>
          <w:numId w:val="7"/>
        </w:numPr>
        <w:spacing w:before="120" w:after="120" w:line="276" w:lineRule="auto"/>
        <w:ind w:left="284" w:hanging="142"/>
        <w:jc w:val="both"/>
        <w:rPr>
          <w:rFonts w:eastAsia="Times New Roman" w:cstheme="minorHAnsi"/>
        </w:rPr>
      </w:pPr>
      <w:r w:rsidRPr="007E5EEC">
        <w:rPr>
          <w:rFonts w:cstheme="minorHAnsi"/>
          <w:b/>
        </w:rPr>
        <w:t>S</w:t>
      </w:r>
      <w:r w:rsidR="00A541D2" w:rsidRPr="007E5EEC">
        <w:rPr>
          <w:rFonts w:cstheme="minorHAnsi"/>
          <w:b/>
        </w:rPr>
        <w:t>ea transport</w:t>
      </w:r>
      <w:bookmarkEnd w:id="9"/>
      <w:bookmarkEnd w:id="10"/>
      <w:r w:rsidR="005D68D2" w:rsidRPr="007E5EEC">
        <w:rPr>
          <w:rFonts w:cstheme="minorHAnsi"/>
          <w:b/>
        </w:rPr>
        <w:t xml:space="preserve"> - </w:t>
      </w:r>
      <w:r w:rsidR="00A541D2" w:rsidRPr="007E5EEC">
        <w:rPr>
          <w:rFonts w:eastAsia="Times New Roman" w:cstheme="minorHAnsi"/>
        </w:rPr>
        <w:t xml:space="preserve">covers all international freight and passenger transport services undertaken by </w:t>
      </w:r>
      <w:r w:rsidRPr="007E5EEC">
        <w:rPr>
          <w:rFonts w:eastAsia="Times New Roman" w:cstheme="minorHAnsi"/>
        </w:rPr>
        <w:t xml:space="preserve">maritime </w:t>
      </w:r>
      <w:r w:rsidR="00A541D2" w:rsidRPr="007E5EEC">
        <w:rPr>
          <w:rFonts w:eastAsia="Times New Roman" w:cstheme="minorHAnsi"/>
        </w:rPr>
        <w:t xml:space="preserve">vessels, except cruise fares (included in travel). </w:t>
      </w:r>
      <w:r w:rsidR="00D758ED" w:rsidRPr="007E5EEC">
        <w:rPr>
          <w:rFonts w:eastAsia="Times New Roman" w:cstheme="minorHAnsi"/>
        </w:rPr>
        <w:t xml:space="preserve">The main data source is ITRS survey. </w:t>
      </w:r>
      <w:bookmarkStart w:id="11" w:name="_Toc21685397"/>
      <w:bookmarkStart w:id="12" w:name="_Toc21957328"/>
    </w:p>
    <w:p w14:paraId="08DAD386" w14:textId="7FA1C72F" w:rsidR="005D68D2" w:rsidRPr="007E5EEC" w:rsidRDefault="00A541D2" w:rsidP="00C64BB7">
      <w:pPr>
        <w:pStyle w:val="ListParagraph"/>
        <w:numPr>
          <w:ilvl w:val="0"/>
          <w:numId w:val="7"/>
        </w:numPr>
        <w:tabs>
          <w:tab w:val="left" w:pos="1440"/>
        </w:tabs>
        <w:spacing w:before="120" w:after="120" w:line="276" w:lineRule="auto"/>
        <w:ind w:left="284" w:hanging="142"/>
        <w:jc w:val="both"/>
        <w:rPr>
          <w:rFonts w:cstheme="minorHAnsi"/>
          <w:lang w:eastAsia="nl-NL"/>
        </w:rPr>
      </w:pPr>
      <w:r w:rsidRPr="007E5EEC">
        <w:rPr>
          <w:rFonts w:cstheme="minorHAnsi"/>
          <w:b/>
        </w:rPr>
        <w:t>Air transport</w:t>
      </w:r>
      <w:bookmarkEnd w:id="11"/>
      <w:bookmarkEnd w:id="12"/>
      <w:r w:rsidR="005D68D2" w:rsidRPr="007E5EEC">
        <w:rPr>
          <w:rFonts w:cstheme="minorHAnsi"/>
          <w:b/>
        </w:rPr>
        <w:t>-</w:t>
      </w:r>
      <w:r w:rsidR="005D68D2" w:rsidRPr="007E5EEC">
        <w:rPr>
          <w:rFonts w:eastAsia="Times New Roman" w:cstheme="minorHAnsi"/>
        </w:rPr>
        <w:t xml:space="preserve"> </w:t>
      </w:r>
      <w:r w:rsidRPr="007E5EEC">
        <w:rPr>
          <w:rFonts w:eastAsia="Times New Roman" w:cstheme="minorHAnsi"/>
          <w:lang w:eastAsia="nl-NL"/>
        </w:rPr>
        <w:t>Air transport covers all international freight and passenger transport services provided by aircraft.</w:t>
      </w:r>
      <w:r w:rsidR="00D758ED" w:rsidRPr="007E5EEC">
        <w:rPr>
          <w:rFonts w:eastAsia="Times New Roman" w:cstheme="minorHAnsi"/>
          <w:lang w:eastAsia="nl-NL"/>
        </w:rPr>
        <w:t xml:space="preserve"> </w:t>
      </w:r>
      <w:r w:rsidR="005D68D2" w:rsidRPr="007E5EEC">
        <w:rPr>
          <w:rFonts w:eastAsia="Times New Roman" w:cstheme="minorHAnsi"/>
          <w:lang w:eastAsia="nl-NL"/>
        </w:rPr>
        <w:t xml:space="preserve">It includes: </w:t>
      </w:r>
      <w:r w:rsidRPr="007E5EEC">
        <w:rPr>
          <w:rFonts w:eastAsia="Times New Roman" w:cstheme="minorHAnsi"/>
          <w:lang w:eastAsia="nl-NL"/>
        </w:rPr>
        <w:t>fares and other expenditure related to the carriage of passengers by airplanes, including any taxes levied on passenger services, as well as, rental services of passenger</w:t>
      </w:r>
      <w:r w:rsidR="005D68D2" w:rsidRPr="007E5EEC">
        <w:rPr>
          <w:rFonts w:eastAsia="Times New Roman" w:cstheme="minorHAnsi"/>
          <w:lang w:eastAsia="nl-NL"/>
        </w:rPr>
        <w:t xml:space="preserve"> and freight </w:t>
      </w:r>
      <w:r w:rsidRPr="007E5EEC">
        <w:rPr>
          <w:rFonts w:eastAsia="Times New Roman" w:cstheme="minorHAnsi"/>
          <w:lang w:eastAsia="nl-NL"/>
        </w:rPr>
        <w:t>aircraft,</w:t>
      </w:r>
      <w:r w:rsidR="005D68D2" w:rsidRPr="007E5EEC">
        <w:rPr>
          <w:rFonts w:eastAsia="Times New Roman" w:cstheme="minorHAnsi"/>
          <w:lang w:eastAsia="nl-NL"/>
        </w:rPr>
        <w:t xml:space="preserve"> </w:t>
      </w:r>
      <w:r w:rsidRPr="007E5EEC">
        <w:rPr>
          <w:rFonts w:eastAsia="Times New Roman" w:cstheme="minorHAnsi"/>
          <w:lang w:eastAsia="nl-NL"/>
        </w:rPr>
        <w:t>transportation of letters and parcels by air, scheduled or non-scheduled, on behalf of postal and courier services, airport operation services, air traffic control services, salvage services and other supporting services related to air transport.</w:t>
      </w:r>
      <w:r w:rsidR="000F57F7" w:rsidRPr="007E5EEC">
        <w:rPr>
          <w:rFonts w:eastAsia="Times New Roman" w:cstheme="minorHAnsi"/>
          <w:lang w:eastAsia="nl-NL"/>
        </w:rPr>
        <w:t xml:space="preserve"> </w:t>
      </w:r>
      <w:bookmarkStart w:id="13" w:name="_Toc21685401"/>
      <w:bookmarkStart w:id="14" w:name="_Toc21957332"/>
      <w:r w:rsidR="009C3374" w:rsidRPr="007E5EEC">
        <w:rPr>
          <w:rFonts w:eastAsia="Times New Roman" w:cstheme="minorHAnsi"/>
          <w:lang w:eastAsia="nl-NL"/>
        </w:rPr>
        <w:t>For passenger component data sources are: foreign tourist arrivals by country of residence (BHAS) multiplied</w:t>
      </w:r>
      <w:r w:rsidR="009C3374" w:rsidRPr="007E5EEC">
        <w:rPr>
          <w:rFonts w:cstheme="minorHAnsi"/>
          <w:lang w:eastAsia="nl-NL"/>
        </w:rPr>
        <w:t xml:space="preserve"> with average ticket price (taking into account only one domestic carrier) adding tax receivable and for debit side number o</w:t>
      </w:r>
      <w:r w:rsidR="00593380">
        <w:rPr>
          <w:rFonts w:cstheme="minorHAnsi"/>
          <w:lang w:eastAsia="nl-NL"/>
        </w:rPr>
        <w:t>f</w:t>
      </w:r>
      <w:r w:rsidR="009C3374" w:rsidRPr="007E5EEC">
        <w:rPr>
          <w:rFonts w:cstheme="minorHAnsi"/>
          <w:lang w:eastAsia="nl-NL"/>
        </w:rPr>
        <w:t xml:space="preserve"> embarked resident passengers multiplied with average ticket price adding total tax payable. Data source for freight component of air transport is ITRS while other air transport consists of data on over</w:t>
      </w:r>
      <w:r w:rsidR="00A73C08">
        <w:rPr>
          <w:rFonts w:cstheme="minorHAnsi"/>
          <w:lang w:eastAsia="nl-NL"/>
        </w:rPr>
        <w:t xml:space="preserve"> </w:t>
      </w:r>
      <w:r w:rsidR="009C3374" w:rsidRPr="007E5EEC">
        <w:rPr>
          <w:rFonts w:cstheme="minorHAnsi"/>
          <w:lang w:eastAsia="nl-NL"/>
        </w:rPr>
        <w:t>flights above BH (BHANSA) and data collected from BH airports such as air traffic control services, salvage services and other supporting services related to air transport.</w:t>
      </w:r>
    </w:p>
    <w:p w14:paraId="4DF17AB2" w14:textId="7C63645C" w:rsidR="000F57F7" w:rsidRPr="007E5EEC" w:rsidRDefault="00A541D2" w:rsidP="00C64BB7">
      <w:pPr>
        <w:pStyle w:val="ListParagraph"/>
        <w:numPr>
          <w:ilvl w:val="0"/>
          <w:numId w:val="7"/>
        </w:numPr>
        <w:tabs>
          <w:tab w:val="left" w:pos="1440"/>
        </w:tabs>
        <w:spacing w:before="120" w:after="120" w:line="276" w:lineRule="auto"/>
        <w:ind w:left="284" w:hanging="142"/>
        <w:jc w:val="both"/>
        <w:rPr>
          <w:rFonts w:cstheme="minorHAnsi"/>
        </w:rPr>
      </w:pPr>
      <w:r w:rsidRPr="007E5EEC">
        <w:rPr>
          <w:rFonts w:cstheme="minorHAnsi"/>
          <w:b/>
        </w:rPr>
        <w:t>Other modes of transport</w:t>
      </w:r>
      <w:bookmarkEnd w:id="13"/>
      <w:bookmarkEnd w:id="14"/>
      <w:r w:rsidR="005D68D2" w:rsidRPr="007E5EEC">
        <w:rPr>
          <w:rFonts w:cstheme="minorHAnsi"/>
          <w:b/>
        </w:rPr>
        <w:t xml:space="preserve">-  </w:t>
      </w:r>
      <w:r w:rsidRPr="007E5EEC">
        <w:rPr>
          <w:rFonts w:cstheme="minorHAnsi"/>
        </w:rPr>
        <w:t xml:space="preserve">Other modes of transport </w:t>
      </w:r>
      <w:bookmarkStart w:id="15" w:name="_Toc21685402"/>
      <w:bookmarkStart w:id="16" w:name="_Toc21957333"/>
      <w:r w:rsidR="000F57F7" w:rsidRPr="007E5EEC">
        <w:rPr>
          <w:rFonts w:cstheme="minorHAnsi"/>
        </w:rPr>
        <w:t>include space transport, rail, road and inland waterway, pipeline transport and electricity transmission</w:t>
      </w:r>
      <w:r w:rsidR="00A73C08">
        <w:rPr>
          <w:rFonts w:cstheme="minorHAnsi"/>
        </w:rPr>
        <w:t>,</w:t>
      </w:r>
      <w:r w:rsidR="000F57F7" w:rsidRPr="007E5EEC">
        <w:rPr>
          <w:rFonts w:cstheme="minorHAnsi"/>
        </w:rPr>
        <w:t xml:space="preserve"> as well as other supporting and auxiliary transport services covers all other transport services that cannot be allocated to any of the components of transport services previously described.</w:t>
      </w:r>
      <w:r w:rsidR="0010357B" w:rsidRPr="007E5EEC">
        <w:rPr>
          <w:rFonts w:cstheme="minorHAnsi"/>
        </w:rPr>
        <w:t xml:space="preserve"> </w:t>
      </w:r>
      <w:r w:rsidR="009C3374" w:rsidRPr="007E5EEC">
        <w:rPr>
          <w:rFonts w:cstheme="minorHAnsi"/>
        </w:rPr>
        <w:t>The v</w:t>
      </w:r>
      <w:r w:rsidR="0010357B" w:rsidRPr="007E5EEC">
        <w:rPr>
          <w:rFonts w:cstheme="minorHAnsi"/>
        </w:rPr>
        <w:t xml:space="preserve">alues of these services are collected </w:t>
      </w:r>
      <w:r w:rsidR="009C3374" w:rsidRPr="007E5EEC">
        <w:rPr>
          <w:rFonts w:cstheme="minorHAnsi"/>
        </w:rPr>
        <w:t xml:space="preserve">through survey on resident transport </w:t>
      </w:r>
      <w:r w:rsidR="00E136EF" w:rsidRPr="007E5EEC">
        <w:rPr>
          <w:rFonts w:cstheme="minorHAnsi"/>
        </w:rPr>
        <w:t>operators’</w:t>
      </w:r>
      <w:r w:rsidR="009C3374" w:rsidRPr="007E5EEC">
        <w:rPr>
          <w:rFonts w:cstheme="minorHAnsi"/>
        </w:rPr>
        <w:t xml:space="preserve"> and ITRS except data on electricity transmission </w:t>
      </w:r>
      <w:r w:rsidR="00E136EF" w:rsidRPr="007E5EEC">
        <w:rPr>
          <w:rFonts w:cstheme="minorHAnsi"/>
        </w:rPr>
        <w:t xml:space="preserve">that are </w:t>
      </w:r>
      <w:r w:rsidR="009C3374" w:rsidRPr="007E5EEC">
        <w:rPr>
          <w:rFonts w:cstheme="minorHAnsi"/>
        </w:rPr>
        <w:t>collected form Independent System Operator (NOS) and data on cargo handling which are collected from BH airports.</w:t>
      </w:r>
    </w:p>
    <w:p w14:paraId="43FCCF49" w14:textId="77777777" w:rsidR="00254802" w:rsidRPr="007E5EEC" w:rsidRDefault="00A541D2" w:rsidP="00C64BB7">
      <w:pPr>
        <w:pStyle w:val="Heading3"/>
        <w:numPr>
          <w:ilvl w:val="0"/>
          <w:numId w:val="7"/>
        </w:numPr>
        <w:tabs>
          <w:tab w:val="left" w:pos="1440"/>
        </w:tabs>
        <w:spacing w:before="120" w:after="120" w:line="276" w:lineRule="auto"/>
        <w:ind w:left="284" w:hanging="142"/>
        <w:rPr>
          <w:rFonts w:asciiTheme="minorHAnsi" w:hAnsiTheme="minorHAnsi" w:cstheme="minorHAnsi"/>
          <w:b w:val="0"/>
          <w:szCs w:val="22"/>
          <w:lang w:eastAsia="nl-NL"/>
        </w:rPr>
      </w:pPr>
      <w:bookmarkStart w:id="17" w:name="_Toc21685405"/>
      <w:bookmarkStart w:id="18" w:name="_Toc21957336"/>
      <w:bookmarkEnd w:id="15"/>
      <w:bookmarkEnd w:id="16"/>
      <w:r w:rsidRPr="007E5EEC">
        <w:rPr>
          <w:rFonts w:asciiTheme="minorHAnsi" w:hAnsiTheme="minorHAnsi" w:cstheme="minorHAnsi"/>
          <w:szCs w:val="22"/>
        </w:rPr>
        <w:lastRenderedPageBreak/>
        <w:t>Postal and courier services</w:t>
      </w:r>
      <w:bookmarkEnd w:id="17"/>
      <w:bookmarkEnd w:id="18"/>
      <w:r w:rsidR="005D68D2" w:rsidRPr="007E5EEC">
        <w:rPr>
          <w:rFonts w:asciiTheme="minorHAnsi" w:hAnsiTheme="minorHAnsi" w:cstheme="minorHAnsi"/>
          <w:b w:val="0"/>
          <w:szCs w:val="22"/>
        </w:rPr>
        <w:t xml:space="preserve">- </w:t>
      </w:r>
      <w:r w:rsidRPr="007E5EEC">
        <w:rPr>
          <w:rFonts w:asciiTheme="minorHAnsi" w:hAnsiTheme="minorHAnsi" w:cstheme="minorHAnsi"/>
          <w:b w:val="0"/>
          <w:szCs w:val="22"/>
          <w:lang w:eastAsia="nl-NL"/>
        </w:rPr>
        <w:t xml:space="preserve">covers the pickup, transport and delivery of letters, newspapers, periodicals, brochures, other printed matter, parcels and packages. It also includes post office counter services, such as sales of stamps, poste restante services and telegram services and mailbox rental services. </w:t>
      </w:r>
      <w:r w:rsidR="000F57F7" w:rsidRPr="007E5EEC">
        <w:rPr>
          <w:rFonts w:asciiTheme="minorHAnsi" w:hAnsiTheme="minorHAnsi" w:cstheme="minorHAnsi"/>
          <w:b w:val="0"/>
          <w:szCs w:val="22"/>
          <w:lang w:eastAsia="nl-NL"/>
        </w:rPr>
        <w:t xml:space="preserve">Data are collected </w:t>
      </w:r>
      <w:r w:rsidR="0010357B" w:rsidRPr="007E5EEC">
        <w:rPr>
          <w:rFonts w:asciiTheme="minorHAnsi" w:hAnsiTheme="minorHAnsi" w:cstheme="minorHAnsi"/>
          <w:b w:val="0"/>
          <w:szCs w:val="22"/>
          <w:lang w:eastAsia="nl-NL"/>
        </w:rPr>
        <w:t xml:space="preserve">quarterly </w:t>
      </w:r>
      <w:r w:rsidR="00E136EF" w:rsidRPr="007E5EEC">
        <w:rPr>
          <w:rFonts w:asciiTheme="minorHAnsi" w:hAnsiTheme="minorHAnsi" w:cstheme="minorHAnsi"/>
          <w:b w:val="0"/>
          <w:szCs w:val="22"/>
          <w:lang w:eastAsia="nl-NL"/>
        </w:rPr>
        <w:t>by</w:t>
      </w:r>
      <w:r w:rsidRPr="007E5EEC">
        <w:rPr>
          <w:rFonts w:asciiTheme="minorHAnsi" w:hAnsiTheme="minorHAnsi" w:cstheme="minorHAnsi"/>
          <w:b w:val="0"/>
          <w:szCs w:val="22"/>
          <w:lang w:eastAsia="nl-NL"/>
        </w:rPr>
        <w:t xml:space="preserve"> direct survey o</w:t>
      </w:r>
      <w:r w:rsidR="00E136EF" w:rsidRPr="007E5EEC">
        <w:rPr>
          <w:rFonts w:asciiTheme="minorHAnsi" w:hAnsiTheme="minorHAnsi" w:cstheme="minorHAnsi"/>
          <w:b w:val="0"/>
          <w:szCs w:val="22"/>
          <w:lang w:eastAsia="nl-NL"/>
        </w:rPr>
        <w:t>f</w:t>
      </w:r>
      <w:r w:rsidRPr="007E5EEC">
        <w:rPr>
          <w:rFonts w:asciiTheme="minorHAnsi" w:hAnsiTheme="minorHAnsi" w:cstheme="minorHAnsi"/>
          <w:b w:val="0"/>
          <w:szCs w:val="22"/>
          <w:lang w:eastAsia="nl-NL"/>
        </w:rPr>
        <w:t xml:space="preserve"> Postal </w:t>
      </w:r>
      <w:bookmarkStart w:id="19" w:name="_Toc21685429"/>
      <w:bookmarkStart w:id="20" w:name="_Toc21957337"/>
      <w:r w:rsidR="00254802" w:rsidRPr="007E5EEC">
        <w:rPr>
          <w:rFonts w:asciiTheme="minorHAnsi" w:hAnsiTheme="minorHAnsi" w:cstheme="minorHAnsi"/>
          <w:b w:val="0"/>
          <w:szCs w:val="22"/>
          <w:lang w:eastAsia="nl-NL"/>
        </w:rPr>
        <w:t>and Telecommunications services.</w:t>
      </w:r>
      <w:r w:rsidR="0010357B" w:rsidRPr="007E5EEC">
        <w:rPr>
          <w:rFonts w:asciiTheme="minorHAnsi" w:hAnsiTheme="minorHAnsi" w:cstheme="minorHAnsi"/>
          <w:b w:val="0"/>
          <w:szCs w:val="22"/>
          <w:lang w:eastAsia="nl-NL"/>
        </w:rPr>
        <w:t xml:space="preserve"> </w:t>
      </w:r>
      <w:r w:rsidR="00E136EF" w:rsidRPr="007E5EEC">
        <w:rPr>
          <w:rFonts w:asciiTheme="minorHAnsi" w:hAnsiTheme="minorHAnsi" w:cstheme="minorHAnsi"/>
          <w:b w:val="0"/>
          <w:szCs w:val="22"/>
          <w:lang w:eastAsia="nl-NL"/>
        </w:rPr>
        <w:t xml:space="preserve">This survey covers </w:t>
      </w:r>
      <w:r w:rsidR="00995AE4" w:rsidRPr="007E5EEC">
        <w:rPr>
          <w:rFonts w:asciiTheme="minorHAnsi" w:hAnsiTheme="minorHAnsi" w:cstheme="minorHAnsi"/>
          <w:b w:val="0"/>
          <w:szCs w:val="22"/>
          <w:lang w:eastAsia="nl-NL"/>
        </w:rPr>
        <w:t xml:space="preserve">entire </w:t>
      </w:r>
      <w:r w:rsidR="00E136EF" w:rsidRPr="007E5EEC">
        <w:rPr>
          <w:rFonts w:asciiTheme="minorHAnsi" w:hAnsiTheme="minorHAnsi" w:cstheme="minorHAnsi"/>
          <w:b w:val="0"/>
          <w:szCs w:val="22"/>
          <w:lang w:eastAsia="nl-NL"/>
        </w:rPr>
        <w:t xml:space="preserve">concerned population. </w:t>
      </w:r>
    </w:p>
    <w:p w14:paraId="54A90E71" w14:textId="77777777" w:rsidR="000F57F7" w:rsidRPr="007E5EEC" w:rsidRDefault="000F57F7" w:rsidP="005D68D2">
      <w:pPr>
        <w:pStyle w:val="Heading2"/>
        <w:rPr>
          <w:rFonts w:asciiTheme="minorHAnsi" w:hAnsiTheme="minorHAnsi" w:cstheme="minorHAnsi"/>
          <w:sz w:val="22"/>
          <w:szCs w:val="22"/>
        </w:rPr>
      </w:pPr>
      <w:r w:rsidRPr="007E5EEC">
        <w:rPr>
          <w:rFonts w:asciiTheme="minorHAnsi" w:hAnsiTheme="minorHAnsi" w:cstheme="minorHAnsi"/>
          <w:sz w:val="22"/>
          <w:szCs w:val="22"/>
        </w:rPr>
        <w:t>Travel</w:t>
      </w:r>
      <w:bookmarkEnd w:id="19"/>
      <w:bookmarkEnd w:id="20"/>
      <w:r w:rsidRPr="007E5EEC">
        <w:rPr>
          <w:rFonts w:asciiTheme="minorHAnsi" w:hAnsiTheme="minorHAnsi" w:cstheme="minorHAnsi"/>
          <w:sz w:val="22"/>
          <w:szCs w:val="22"/>
        </w:rPr>
        <w:t xml:space="preserve"> </w:t>
      </w:r>
    </w:p>
    <w:p w14:paraId="749BE69B" w14:textId="77777777" w:rsidR="000F57F7" w:rsidRPr="007E5EEC" w:rsidRDefault="000F57F7" w:rsidP="000F57F7">
      <w:pPr>
        <w:tabs>
          <w:tab w:val="left" w:pos="1440"/>
        </w:tabs>
        <w:spacing w:before="120" w:after="120" w:line="276" w:lineRule="auto"/>
        <w:jc w:val="both"/>
        <w:rPr>
          <w:rFonts w:eastAsia="Times New Roman" w:cstheme="minorHAnsi"/>
          <w:lang w:eastAsia="nl-NL"/>
        </w:rPr>
      </w:pPr>
      <w:r w:rsidRPr="007E5EEC">
        <w:rPr>
          <w:rFonts w:eastAsia="Times New Roman" w:cstheme="minorHAnsi"/>
          <w:lang w:eastAsia="nl-NL"/>
        </w:rPr>
        <w:t xml:space="preserve">Travel represents income from goods and services delivered to foreign </w:t>
      </w:r>
      <w:r w:rsidR="0010357B" w:rsidRPr="007E5EEC">
        <w:rPr>
          <w:rFonts w:eastAsia="Times New Roman" w:cstheme="minorHAnsi"/>
          <w:lang w:eastAsia="nl-NL"/>
        </w:rPr>
        <w:t>travellers</w:t>
      </w:r>
      <w:r w:rsidRPr="007E5EEC">
        <w:rPr>
          <w:rFonts w:eastAsia="Times New Roman" w:cstheme="minorHAnsi"/>
          <w:lang w:eastAsia="nl-NL"/>
        </w:rPr>
        <w:t xml:space="preserve"> and tourists, expenditures for goods and services of domestic </w:t>
      </w:r>
      <w:r w:rsidR="0010357B" w:rsidRPr="007E5EEC">
        <w:rPr>
          <w:rFonts w:eastAsia="Times New Roman" w:cstheme="minorHAnsi"/>
          <w:lang w:eastAsia="nl-NL"/>
        </w:rPr>
        <w:t>travellers</w:t>
      </w:r>
      <w:r w:rsidRPr="007E5EEC">
        <w:rPr>
          <w:rFonts w:eastAsia="Times New Roman" w:cstheme="minorHAnsi"/>
          <w:lang w:eastAsia="nl-NL"/>
        </w:rPr>
        <w:t xml:space="preserve"> and tourists in foreign countries. The basic division of travel is by purpose of travel - business and private. </w:t>
      </w:r>
    </w:p>
    <w:p w14:paraId="1BEAB52F" w14:textId="1127BD39" w:rsidR="003308EA" w:rsidRPr="007E5EEC" w:rsidRDefault="000F57F7" w:rsidP="000F57F7">
      <w:pPr>
        <w:tabs>
          <w:tab w:val="left" w:pos="1440"/>
        </w:tabs>
        <w:spacing w:before="120" w:after="120" w:line="276" w:lineRule="auto"/>
        <w:jc w:val="both"/>
        <w:rPr>
          <w:rFonts w:eastAsia="Times New Roman" w:cstheme="minorHAnsi"/>
          <w:lang w:eastAsia="nl-NL"/>
        </w:rPr>
      </w:pPr>
      <w:r w:rsidRPr="007E5EEC">
        <w:rPr>
          <w:rFonts w:eastAsia="Times New Roman" w:cstheme="minorHAnsi"/>
          <w:lang w:eastAsia="nl-NL"/>
        </w:rPr>
        <w:t xml:space="preserve">The </w:t>
      </w:r>
      <w:r w:rsidR="00954A18" w:rsidRPr="007E5EEC">
        <w:rPr>
          <w:rFonts w:eastAsia="Times New Roman" w:cstheme="minorHAnsi"/>
          <w:lang w:eastAsia="nl-NL"/>
        </w:rPr>
        <w:t xml:space="preserve">data </w:t>
      </w:r>
      <w:r w:rsidRPr="007E5EEC">
        <w:rPr>
          <w:rFonts w:eastAsia="Times New Roman" w:cstheme="minorHAnsi"/>
          <w:lang w:eastAsia="nl-NL"/>
        </w:rPr>
        <w:t xml:space="preserve">sources are: </w:t>
      </w:r>
      <w:r w:rsidR="00A24DAF">
        <w:rPr>
          <w:rFonts w:eastAsia="Times New Roman" w:cstheme="minorHAnsi"/>
          <w:lang w:eastAsia="nl-NL"/>
        </w:rPr>
        <w:t>BHAS</w:t>
      </w:r>
      <w:r w:rsidR="00A73C08">
        <w:rPr>
          <w:rFonts w:eastAsia="Times New Roman" w:cstheme="minorHAnsi"/>
          <w:lang w:eastAsia="nl-NL"/>
        </w:rPr>
        <w:t xml:space="preserve"> </w:t>
      </w:r>
      <w:r w:rsidRPr="007E5EEC">
        <w:rPr>
          <w:rFonts w:eastAsia="Times New Roman" w:cstheme="minorHAnsi"/>
          <w:lang w:eastAsia="nl-NL"/>
        </w:rPr>
        <w:t>(data on foreign tourists’ arrivals and nights spent presented by country of residence and data on air cross-border traffic of domestics and foreign passengers</w:t>
      </w:r>
      <w:r w:rsidR="005D68D2" w:rsidRPr="007E5EEC">
        <w:rPr>
          <w:rFonts w:eastAsia="Times New Roman" w:cstheme="minorHAnsi"/>
          <w:lang w:eastAsia="nl-NL"/>
        </w:rPr>
        <w:t xml:space="preserve">), </w:t>
      </w:r>
      <w:r w:rsidR="00CF66A7" w:rsidRPr="00CF66A7">
        <w:rPr>
          <w:rFonts w:eastAsia="Times New Roman" w:cstheme="minorHAnsi"/>
          <w:lang w:eastAsia="nl-NL"/>
        </w:rPr>
        <w:t>Institute for Statistics</w:t>
      </w:r>
      <w:r w:rsidR="00CF66A7">
        <w:rPr>
          <w:rFonts w:eastAsia="Times New Roman" w:cstheme="minorHAnsi"/>
          <w:lang w:eastAsia="nl-NL"/>
        </w:rPr>
        <w:t xml:space="preserve"> of Federation of BH </w:t>
      </w:r>
      <w:r w:rsidR="00A24DAF">
        <w:rPr>
          <w:rFonts w:eastAsia="Times New Roman" w:cstheme="minorHAnsi"/>
          <w:lang w:eastAsia="nl-NL"/>
        </w:rPr>
        <w:t>(data on number of foreign</w:t>
      </w:r>
      <w:r w:rsidR="00A73C08">
        <w:rPr>
          <w:rFonts w:eastAsia="Times New Roman" w:cstheme="minorHAnsi"/>
          <w:lang w:eastAsia="nl-NL"/>
        </w:rPr>
        <w:t xml:space="preserve"> tourist </w:t>
      </w:r>
      <w:r w:rsidR="00A24DAF">
        <w:rPr>
          <w:rFonts w:eastAsia="Times New Roman" w:cstheme="minorHAnsi"/>
          <w:lang w:eastAsia="nl-NL"/>
        </w:rPr>
        <w:t>nights spent</w:t>
      </w:r>
      <w:r w:rsidR="00A73C08">
        <w:rPr>
          <w:rFonts w:eastAsia="Times New Roman" w:cstheme="minorHAnsi"/>
          <w:lang w:eastAsia="nl-NL"/>
        </w:rPr>
        <w:t xml:space="preserve"> are</w:t>
      </w:r>
      <w:r w:rsidR="00A24DAF">
        <w:rPr>
          <w:rFonts w:eastAsia="Times New Roman" w:cstheme="minorHAnsi"/>
          <w:lang w:eastAsia="nl-NL"/>
        </w:rPr>
        <w:t xml:space="preserve"> presented separately as private and business travel), </w:t>
      </w:r>
      <w:r w:rsidRPr="007E5EEC">
        <w:rPr>
          <w:rFonts w:eastAsia="Times New Roman" w:cstheme="minorHAnsi"/>
          <w:lang w:eastAsia="nl-NL"/>
        </w:rPr>
        <w:t>Ministry of Communications and Transport (total number of passengers transported</w:t>
      </w:r>
      <w:r w:rsidR="00A73C08">
        <w:rPr>
          <w:rFonts w:eastAsia="Times New Roman" w:cstheme="minorHAnsi"/>
          <w:lang w:eastAsia="nl-NL"/>
        </w:rPr>
        <w:t>,</w:t>
      </w:r>
      <w:r w:rsidRPr="007E5EEC">
        <w:rPr>
          <w:rFonts w:eastAsia="Times New Roman" w:cstheme="minorHAnsi"/>
          <w:lang w:eastAsia="nl-NL"/>
        </w:rPr>
        <w:t xml:space="preserve"> as well as total number of flights through domestic airports, and number of passengers transported by domestic and foreign aircrafts), </w:t>
      </w:r>
      <w:r w:rsidR="005D68D2" w:rsidRPr="007E5EEC">
        <w:rPr>
          <w:rFonts w:eastAsia="Times New Roman" w:cstheme="minorHAnsi"/>
          <w:lang w:eastAsia="nl-NL"/>
        </w:rPr>
        <w:t xml:space="preserve">Service for </w:t>
      </w:r>
      <w:r w:rsidR="00102429" w:rsidRPr="007E5EEC">
        <w:rPr>
          <w:rFonts w:eastAsia="Times New Roman" w:cstheme="minorHAnsi"/>
          <w:lang w:eastAsia="nl-NL"/>
        </w:rPr>
        <w:t>Foreign</w:t>
      </w:r>
      <w:r w:rsidR="005D68D2" w:rsidRPr="007E5EEC">
        <w:rPr>
          <w:rFonts w:eastAsia="Times New Roman" w:cstheme="minorHAnsi"/>
          <w:lang w:eastAsia="nl-NL"/>
        </w:rPr>
        <w:t xml:space="preserve"> Affairs (foreign students in BH)</w:t>
      </w:r>
      <w:r w:rsidR="00A24DAF">
        <w:rPr>
          <w:rFonts w:eastAsia="Times New Roman" w:cstheme="minorHAnsi"/>
          <w:lang w:eastAsia="nl-NL"/>
        </w:rPr>
        <w:t xml:space="preserve">, </w:t>
      </w:r>
      <w:r w:rsidR="00F44333">
        <w:rPr>
          <w:rFonts w:eastAsia="Times New Roman" w:cstheme="minorHAnsi"/>
          <w:lang w:eastAsia="nl-NL"/>
        </w:rPr>
        <w:t>web site of famous</w:t>
      </w:r>
      <w:r w:rsidR="00A73C08">
        <w:rPr>
          <w:rFonts w:eastAsia="Times New Roman" w:cstheme="minorHAnsi"/>
          <w:lang w:eastAsia="nl-NL"/>
        </w:rPr>
        <w:t xml:space="preserve"> </w:t>
      </w:r>
      <w:r w:rsidR="00F44333">
        <w:rPr>
          <w:rFonts w:eastAsia="Times New Roman" w:cstheme="minorHAnsi"/>
          <w:lang w:eastAsia="nl-NL"/>
        </w:rPr>
        <w:t xml:space="preserve"> tourist </w:t>
      </w:r>
      <w:r w:rsidR="00A73C08">
        <w:rPr>
          <w:rFonts w:eastAsia="Times New Roman" w:cstheme="minorHAnsi"/>
          <w:lang w:eastAsia="nl-NL"/>
        </w:rPr>
        <w:t xml:space="preserve">destination </w:t>
      </w:r>
      <w:r w:rsidR="00A24DAF">
        <w:rPr>
          <w:rFonts w:eastAsia="Times New Roman" w:cstheme="minorHAnsi"/>
          <w:lang w:eastAsia="nl-NL"/>
        </w:rPr>
        <w:t xml:space="preserve">Međugorje (number of visitors), and data available on </w:t>
      </w:r>
      <w:r w:rsidR="00F44333">
        <w:rPr>
          <w:rFonts w:eastAsia="Times New Roman" w:cstheme="minorHAnsi"/>
          <w:lang w:eastAsia="nl-NL"/>
        </w:rPr>
        <w:t xml:space="preserve">other </w:t>
      </w:r>
      <w:r w:rsidR="00A24DAF">
        <w:rPr>
          <w:rFonts w:eastAsia="Times New Roman" w:cstheme="minorHAnsi"/>
          <w:lang w:eastAsia="nl-NL"/>
        </w:rPr>
        <w:t>websites and publications relevant for this topic</w:t>
      </w:r>
      <w:r w:rsidR="005D68D2" w:rsidRPr="007E5EEC">
        <w:rPr>
          <w:rFonts w:eastAsia="Times New Roman" w:cstheme="minorHAnsi"/>
          <w:lang w:eastAsia="nl-NL"/>
        </w:rPr>
        <w:t xml:space="preserve">. </w:t>
      </w:r>
      <w:r w:rsidRPr="007E5EEC">
        <w:rPr>
          <w:rFonts w:eastAsia="Times New Roman" w:cstheme="minorHAnsi"/>
          <w:lang w:eastAsia="nl-NL"/>
        </w:rPr>
        <w:t xml:space="preserve">For the debit side the main source of data is the ITRS, crosschecked with mirror statistics for BH tourists collected from publications and official websites of statistical institutions of </w:t>
      </w:r>
      <w:r w:rsidR="00102429" w:rsidRPr="007E5EEC">
        <w:rPr>
          <w:rFonts w:eastAsia="Times New Roman" w:cstheme="minorHAnsi"/>
          <w:lang w:eastAsia="nl-NL"/>
        </w:rPr>
        <w:t>neighbouring</w:t>
      </w:r>
      <w:r w:rsidRPr="007E5EEC">
        <w:rPr>
          <w:rFonts w:eastAsia="Times New Roman" w:cstheme="minorHAnsi"/>
          <w:lang w:eastAsia="nl-NL"/>
        </w:rPr>
        <w:t xml:space="preserve"> countries (Croatia, Serbia, Slovenia and Montenegro) and Turkey.</w:t>
      </w:r>
      <w:r w:rsidR="00AE4FBB">
        <w:rPr>
          <w:rFonts w:eastAsia="Times New Roman" w:cstheme="minorHAnsi"/>
          <w:lang w:eastAsia="nl-NL"/>
        </w:rPr>
        <w:t xml:space="preserve"> An estimate</w:t>
      </w:r>
      <w:r w:rsidR="00A24DAF">
        <w:rPr>
          <w:rFonts w:eastAsia="Times New Roman" w:cstheme="minorHAnsi"/>
          <w:lang w:eastAsia="nl-NL"/>
        </w:rPr>
        <w:t xml:space="preserve"> of </w:t>
      </w:r>
      <w:r w:rsidR="00AE4FBB">
        <w:rPr>
          <w:rFonts w:eastAsia="Times New Roman" w:cstheme="minorHAnsi"/>
          <w:lang w:eastAsia="nl-NL"/>
        </w:rPr>
        <w:t xml:space="preserve">the </w:t>
      </w:r>
      <w:r w:rsidR="00A24DAF">
        <w:rPr>
          <w:rFonts w:eastAsia="Times New Roman" w:cstheme="minorHAnsi"/>
          <w:lang w:eastAsia="nl-NL"/>
        </w:rPr>
        <w:t>average</w:t>
      </w:r>
      <w:r w:rsidR="00AE4FBB">
        <w:rPr>
          <w:rFonts w:eastAsia="Times New Roman" w:cstheme="minorHAnsi"/>
          <w:lang w:eastAsia="nl-NL"/>
        </w:rPr>
        <w:t xml:space="preserve"> daily</w:t>
      </w:r>
      <w:r w:rsidR="00A24DAF">
        <w:rPr>
          <w:rFonts w:eastAsia="Times New Roman" w:cstheme="minorHAnsi"/>
          <w:lang w:eastAsia="nl-NL"/>
        </w:rPr>
        <w:t xml:space="preserve"> </w:t>
      </w:r>
      <w:r w:rsidR="00AE4FBB">
        <w:rPr>
          <w:rFonts w:eastAsia="Times New Roman" w:cstheme="minorHAnsi"/>
          <w:lang w:eastAsia="nl-NL"/>
        </w:rPr>
        <w:t xml:space="preserve">consumption </w:t>
      </w:r>
      <w:r w:rsidR="00A24DAF">
        <w:rPr>
          <w:rFonts w:eastAsia="Times New Roman" w:cstheme="minorHAnsi"/>
          <w:lang w:eastAsia="nl-NL"/>
        </w:rPr>
        <w:t xml:space="preserve">of tourists </w:t>
      </w:r>
      <w:r w:rsidR="00AE4FBB">
        <w:rPr>
          <w:rFonts w:eastAsia="Times New Roman" w:cstheme="minorHAnsi"/>
          <w:lang w:eastAsia="nl-NL"/>
        </w:rPr>
        <w:t>is done within CBBH. Also, unregistered tourists arrivals and departures are estimated.</w:t>
      </w:r>
    </w:p>
    <w:p w14:paraId="16357CB5" w14:textId="77777777" w:rsidR="000F57F7" w:rsidRPr="007E5EEC" w:rsidRDefault="000F57F7" w:rsidP="00954A18">
      <w:pPr>
        <w:pStyle w:val="Heading2"/>
        <w:rPr>
          <w:rFonts w:asciiTheme="minorHAnsi" w:hAnsiTheme="minorHAnsi" w:cstheme="minorHAnsi"/>
          <w:sz w:val="22"/>
          <w:szCs w:val="22"/>
        </w:rPr>
      </w:pPr>
      <w:bookmarkStart w:id="21" w:name="_Toc21685430"/>
      <w:bookmarkStart w:id="22" w:name="_Toc21957338"/>
      <w:r w:rsidRPr="007E5EEC">
        <w:rPr>
          <w:rFonts w:asciiTheme="minorHAnsi" w:hAnsiTheme="minorHAnsi" w:cstheme="minorHAnsi"/>
          <w:sz w:val="22"/>
          <w:szCs w:val="22"/>
        </w:rPr>
        <w:t>Construction</w:t>
      </w:r>
      <w:bookmarkEnd w:id="21"/>
      <w:bookmarkEnd w:id="22"/>
      <w:r w:rsidRPr="007E5EEC">
        <w:rPr>
          <w:rFonts w:asciiTheme="minorHAnsi" w:hAnsiTheme="minorHAnsi" w:cstheme="minorHAnsi"/>
          <w:sz w:val="22"/>
          <w:szCs w:val="22"/>
        </w:rPr>
        <w:t xml:space="preserve"> </w:t>
      </w:r>
    </w:p>
    <w:p w14:paraId="1CFDDAD0" w14:textId="77777777" w:rsidR="003308EA" w:rsidRPr="007E5EEC" w:rsidRDefault="000F57F7" w:rsidP="005D68D2">
      <w:pPr>
        <w:tabs>
          <w:tab w:val="left" w:pos="1440"/>
        </w:tabs>
        <w:spacing w:before="120" w:after="120" w:line="276" w:lineRule="auto"/>
        <w:jc w:val="both"/>
        <w:rPr>
          <w:rFonts w:eastAsia="Times New Roman" w:cstheme="minorHAnsi"/>
          <w:lang w:eastAsia="nl-NL"/>
        </w:rPr>
      </w:pPr>
      <w:r w:rsidRPr="007E5EEC">
        <w:rPr>
          <w:rFonts w:eastAsia="Times New Roman" w:cstheme="minorHAnsi"/>
          <w:lang w:eastAsia="nl-NL"/>
        </w:rPr>
        <w:t xml:space="preserve">Construction Services – include construction, reconstruction, repair or upgrade of fixed assets in the form of buildings, land improvement and other, such as building of roads, bridges, water-gates and similar. </w:t>
      </w:r>
      <w:r w:rsidR="005D68D2" w:rsidRPr="007E5EEC">
        <w:rPr>
          <w:rFonts w:eastAsia="Times New Roman" w:cstheme="minorHAnsi"/>
          <w:lang w:eastAsia="nl-NL"/>
        </w:rPr>
        <w:t>Data sources are: B</w:t>
      </w:r>
      <w:r w:rsidRPr="007E5EEC">
        <w:rPr>
          <w:rFonts w:eastAsia="Times New Roman" w:cstheme="minorHAnsi"/>
          <w:lang w:eastAsia="nl-NL"/>
        </w:rPr>
        <w:t>HAS</w:t>
      </w:r>
      <w:r w:rsidR="005D68D2" w:rsidRPr="007E5EEC">
        <w:rPr>
          <w:rFonts w:eastAsia="Times New Roman" w:cstheme="minorHAnsi"/>
          <w:lang w:eastAsia="nl-NL"/>
        </w:rPr>
        <w:t xml:space="preserve">, ITRS and </w:t>
      </w:r>
      <w:r w:rsidRPr="007E5EEC">
        <w:rPr>
          <w:rFonts w:eastAsia="Times New Roman" w:cstheme="minorHAnsi"/>
          <w:lang w:eastAsia="nl-NL"/>
        </w:rPr>
        <w:t>military and international organizations located in BH</w:t>
      </w:r>
      <w:bookmarkStart w:id="23" w:name="_Toc21685431"/>
      <w:bookmarkStart w:id="24" w:name="_Toc21957339"/>
      <w:r w:rsidR="005D68D2" w:rsidRPr="007E5EEC">
        <w:rPr>
          <w:rFonts w:eastAsia="Times New Roman" w:cstheme="minorHAnsi"/>
          <w:lang w:eastAsia="nl-NL"/>
        </w:rPr>
        <w:t>.</w:t>
      </w:r>
    </w:p>
    <w:p w14:paraId="51C013BC" w14:textId="77777777" w:rsidR="000F57F7" w:rsidRPr="007E5EEC" w:rsidRDefault="000F57F7" w:rsidP="00954A18">
      <w:pPr>
        <w:pStyle w:val="Heading2"/>
        <w:rPr>
          <w:rFonts w:asciiTheme="minorHAnsi" w:hAnsiTheme="minorHAnsi" w:cstheme="minorHAnsi"/>
          <w:sz w:val="22"/>
          <w:szCs w:val="22"/>
        </w:rPr>
      </w:pPr>
      <w:r w:rsidRPr="007E5EEC">
        <w:rPr>
          <w:rFonts w:asciiTheme="minorHAnsi" w:hAnsiTheme="minorHAnsi" w:cstheme="minorHAnsi"/>
          <w:sz w:val="22"/>
          <w:szCs w:val="22"/>
        </w:rPr>
        <w:t>Insurance and pension services</w:t>
      </w:r>
      <w:bookmarkEnd w:id="23"/>
      <w:bookmarkEnd w:id="24"/>
    </w:p>
    <w:p w14:paraId="50C1F9A6" w14:textId="21BC47D6" w:rsidR="003308EA" w:rsidRPr="007E5EEC" w:rsidRDefault="000F57F7" w:rsidP="00954A18">
      <w:pPr>
        <w:tabs>
          <w:tab w:val="num" w:pos="900"/>
          <w:tab w:val="left" w:pos="1440"/>
        </w:tabs>
        <w:spacing w:before="120" w:after="120" w:line="276" w:lineRule="auto"/>
        <w:jc w:val="both"/>
        <w:rPr>
          <w:rFonts w:eastAsia="Times New Roman" w:cstheme="minorHAnsi"/>
        </w:rPr>
      </w:pPr>
      <w:r w:rsidRPr="007E5EEC">
        <w:rPr>
          <w:rFonts w:eastAsia="Times New Roman" w:cstheme="minorHAnsi"/>
        </w:rPr>
        <w:t xml:space="preserve">These services include services of providing life insurance and annuities, non-life insurance, reinsurance, freight insurance, pensions, standardized guarantees, and auxiliary services to insurance, pension schemes, and standardized </w:t>
      </w:r>
      <w:r w:rsidR="00845C78">
        <w:rPr>
          <w:rFonts w:eastAsia="Times New Roman" w:cstheme="minorHAnsi"/>
        </w:rPr>
        <w:t>insurance</w:t>
      </w:r>
      <w:r w:rsidRPr="007E5EEC">
        <w:rPr>
          <w:rFonts w:eastAsia="Times New Roman" w:cstheme="minorHAnsi"/>
        </w:rPr>
        <w:t xml:space="preserve"> schemes. Values of insurance and pension services for credit are obtained by direct survey of all resident insura</w:t>
      </w:r>
      <w:r w:rsidRPr="00985FAC">
        <w:rPr>
          <w:rFonts w:eastAsia="Times New Roman" w:cstheme="minorHAnsi"/>
        </w:rPr>
        <w:t>nce and reinsurance companies</w:t>
      </w:r>
      <w:r w:rsidR="007912F6">
        <w:rPr>
          <w:rFonts w:eastAsia="Times New Roman" w:cstheme="minorHAnsi"/>
        </w:rPr>
        <w:t>,</w:t>
      </w:r>
      <w:r w:rsidRPr="00985FAC">
        <w:rPr>
          <w:rFonts w:eastAsia="Times New Roman" w:cstheme="minorHAnsi"/>
        </w:rPr>
        <w:t xml:space="preserve"> while the debit side is compiled using the ITRS survey with the exception of freight insurance</w:t>
      </w:r>
      <w:r w:rsidR="00593380" w:rsidRPr="00985FAC">
        <w:rPr>
          <w:rFonts w:eastAsia="Times New Roman" w:cstheme="minorHAnsi"/>
        </w:rPr>
        <w:t>.</w:t>
      </w:r>
      <w:r w:rsidRPr="00985FAC">
        <w:rPr>
          <w:rFonts w:eastAsia="Times New Roman" w:cstheme="minorHAnsi"/>
        </w:rPr>
        <w:t xml:space="preserve"> </w:t>
      </w:r>
      <w:r w:rsidR="00DD002E" w:rsidRPr="00985FAC">
        <w:rPr>
          <w:rFonts w:eastAsia="Times New Roman" w:cstheme="minorHAnsi"/>
        </w:rPr>
        <w:t>D</w:t>
      </w:r>
      <w:r w:rsidR="00593380" w:rsidRPr="00985FAC">
        <w:rPr>
          <w:rFonts w:eastAsia="Times New Roman" w:cstheme="minorHAnsi"/>
        </w:rPr>
        <w:t xml:space="preserve">ata source for </w:t>
      </w:r>
      <w:r w:rsidR="00DD002E" w:rsidRPr="00985FAC">
        <w:rPr>
          <w:rFonts w:eastAsia="Times New Roman" w:cstheme="minorHAnsi"/>
        </w:rPr>
        <w:t xml:space="preserve">freight insurance which is component of </w:t>
      </w:r>
      <w:r w:rsidR="00593380" w:rsidRPr="00985FAC">
        <w:rPr>
          <w:rFonts w:eastAsia="Times New Roman" w:cstheme="minorHAnsi"/>
        </w:rPr>
        <w:t xml:space="preserve">direct insurance is the </w:t>
      </w:r>
      <w:r w:rsidR="00DD002E" w:rsidRPr="00985FAC">
        <w:rPr>
          <w:rFonts w:eastAsia="Times New Roman" w:cstheme="minorHAnsi"/>
        </w:rPr>
        <w:t xml:space="preserve">survey on trade credits and advanced payments </w:t>
      </w:r>
      <w:r w:rsidR="00593380" w:rsidRPr="00985FAC">
        <w:rPr>
          <w:rFonts w:eastAsia="Times New Roman" w:cstheme="minorHAnsi"/>
        </w:rPr>
        <w:t>(</w:t>
      </w:r>
      <w:r w:rsidR="00DD002E" w:rsidRPr="00985FAC">
        <w:rPr>
          <w:rFonts w:eastAsia="Times New Roman" w:cstheme="minorHAnsi"/>
        </w:rPr>
        <w:t>data primarily collected for c.i.f.</w:t>
      </w:r>
      <w:r w:rsidR="00593380" w:rsidRPr="00985FAC">
        <w:rPr>
          <w:rFonts w:eastAsia="Times New Roman" w:cstheme="minorHAnsi"/>
        </w:rPr>
        <w:t xml:space="preserve"> </w:t>
      </w:r>
      <w:r w:rsidR="00DD002E" w:rsidRPr="00985FAC">
        <w:rPr>
          <w:rFonts w:eastAsia="Times New Roman" w:cstheme="minorHAnsi"/>
        </w:rPr>
        <w:t>–</w:t>
      </w:r>
      <w:r w:rsidR="00593380" w:rsidRPr="00985FAC">
        <w:rPr>
          <w:rFonts w:eastAsia="Times New Roman" w:cstheme="minorHAnsi"/>
        </w:rPr>
        <w:t xml:space="preserve"> </w:t>
      </w:r>
      <w:r w:rsidR="00DD002E" w:rsidRPr="00985FAC">
        <w:rPr>
          <w:rFonts w:eastAsia="Times New Roman" w:cstheme="minorHAnsi"/>
        </w:rPr>
        <w:t>f.o.b. adjustment</w:t>
      </w:r>
      <w:r w:rsidR="00593380" w:rsidRPr="00985FAC">
        <w:rPr>
          <w:rFonts w:eastAsia="Times New Roman" w:cstheme="minorHAnsi"/>
        </w:rPr>
        <w:t>).</w:t>
      </w:r>
      <w:bookmarkStart w:id="25" w:name="_Toc21685436"/>
      <w:bookmarkStart w:id="26" w:name="_Toc21957344"/>
    </w:p>
    <w:p w14:paraId="3C9333CA" w14:textId="77777777" w:rsidR="000F57F7" w:rsidRPr="007E5EEC" w:rsidRDefault="000F57F7" w:rsidP="00954A18">
      <w:pPr>
        <w:pStyle w:val="Heading2"/>
        <w:rPr>
          <w:rFonts w:asciiTheme="minorHAnsi" w:hAnsiTheme="minorHAnsi" w:cstheme="minorHAnsi"/>
          <w:sz w:val="22"/>
          <w:szCs w:val="22"/>
        </w:rPr>
      </w:pPr>
      <w:r w:rsidRPr="007E5EEC">
        <w:rPr>
          <w:rFonts w:asciiTheme="minorHAnsi" w:hAnsiTheme="minorHAnsi" w:cstheme="minorHAnsi"/>
          <w:sz w:val="22"/>
          <w:szCs w:val="22"/>
        </w:rPr>
        <w:t>Financial services</w:t>
      </w:r>
      <w:bookmarkEnd w:id="25"/>
      <w:bookmarkEnd w:id="26"/>
    </w:p>
    <w:p w14:paraId="7636A818" w14:textId="77777777" w:rsidR="000F57F7" w:rsidRPr="007E5EEC" w:rsidRDefault="000F57F7" w:rsidP="000F57F7">
      <w:pPr>
        <w:tabs>
          <w:tab w:val="left" w:pos="1440"/>
        </w:tabs>
        <w:spacing w:before="120" w:after="120" w:line="276" w:lineRule="auto"/>
        <w:jc w:val="both"/>
        <w:rPr>
          <w:rFonts w:eastAsia="Times New Roman" w:cstheme="minorHAnsi"/>
        </w:rPr>
      </w:pPr>
      <w:r w:rsidRPr="007E5EEC">
        <w:rPr>
          <w:rFonts w:eastAsia="Times New Roman" w:cstheme="minorHAnsi"/>
        </w:rPr>
        <w:t>Financial services cover financial intermediary and auxiliary services provided by banks and other financial corporations. These include deposit taking and lending, letters of credit, credit card services, commissions and charges related to financial leasing, factoring, underwriting and clearing of payments.</w:t>
      </w:r>
      <w:r w:rsidR="00E136EF" w:rsidRPr="007E5EEC">
        <w:rPr>
          <w:rFonts w:eastAsia="Times New Roman" w:cstheme="minorHAnsi"/>
        </w:rPr>
        <w:t xml:space="preserve"> Financial services are divided into: explicitly charged and other financial services and financial intermediation service charges indirectly measured (FISIM). </w:t>
      </w:r>
      <w:bookmarkStart w:id="27" w:name="_Toc21685437"/>
      <w:r w:rsidR="00954A18" w:rsidRPr="007E5EEC">
        <w:rPr>
          <w:rFonts w:eastAsia="Times New Roman" w:cstheme="minorHAnsi"/>
        </w:rPr>
        <w:t>Data sources are: ITRS, DI survey, Monetary and Financial Statistics, BIS report, and CBBH data on external debt of Government Sector.</w:t>
      </w:r>
      <w:r w:rsidR="00BD3EE9" w:rsidRPr="007E5EEC">
        <w:rPr>
          <w:rFonts w:eastAsia="Times New Roman" w:cstheme="minorHAnsi"/>
          <w:color w:val="FF0000"/>
        </w:rPr>
        <w:t xml:space="preserve"> </w:t>
      </w:r>
    </w:p>
    <w:p w14:paraId="29DB8726" w14:textId="067E3C87" w:rsidR="00954A18" w:rsidRPr="007E5EEC" w:rsidRDefault="00954A18" w:rsidP="00954A18">
      <w:pPr>
        <w:pStyle w:val="Heading2"/>
        <w:rPr>
          <w:rFonts w:asciiTheme="minorHAnsi" w:hAnsiTheme="minorHAnsi" w:cstheme="minorHAnsi"/>
          <w:sz w:val="22"/>
          <w:szCs w:val="22"/>
        </w:rPr>
      </w:pPr>
      <w:r w:rsidRPr="007E5EEC">
        <w:rPr>
          <w:rFonts w:asciiTheme="minorHAnsi" w:hAnsiTheme="minorHAnsi" w:cstheme="minorHAnsi"/>
          <w:sz w:val="22"/>
          <w:szCs w:val="22"/>
        </w:rPr>
        <w:lastRenderedPageBreak/>
        <w:t>Charges for the use of intellectual property</w:t>
      </w:r>
      <w:r w:rsidR="00AE32F0">
        <w:rPr>
          <w:rFonts w:asciiTheme="minorHAnsi" w:hAnsiTheme="minorHAnsi" w:cstheme="minorHAnsi"/>
          <w:sz w:val="22"/>
          <w:szCs w:val="22"/>
        </w:rPr>
        <w:t xml:space="preserve">, </w:t>
      </w:r>
      <w:r w:rsidRPr="007E5EEC">
        <w:rPr>
          <w:rFonts w:asciiTheme="minorHAnsi" w:hAnsiTheme="minorHAnsi" w:cstheme="minorHAnsi"/>
          <w:sz w:val="22"/>
          <w:szCs w:val="22"/>
        </w:rPr>
        <w:t>n.i.e.</w:t>
      </w:r>
    </w:p>
    <w:p w14:paraId="65DC7BF8" w14:textId="33E4C71C" w:rsidR="00954A18" w:rsidRPr="007E5EEC" w:rsidRDefault="00954A18" w:rsidP="00954A18">
      <w:pPr>
        <w:tabs>
          <w:tab w:val="left" w:pos="1440"/>
        </w:tabs>
        <w:spacing w:before="120" w:after="120" w:line="276" w:lineRule="auto"/>
        <w:jc w:val="both"/>
        <w:rPr>
          <w:rFonts w:eastAsia="Times New Roman" w:cstheme="minorHAnsi"/>
        </w:rPr>
      </w:pPr>
      <w:r w:rsidRPr="007E5EEC">
        <w:rPr>
          <w:rFonts w:eastAsia="Times New Roman" w:cstheme="minorHAnsi"/>
        </w:rPr>
        <w:t>Charges for the use of intellectual property</w:t>
      </w:r>
      <w:r w:rsidR="00AE32F0">
        <w:rPr>
          <w:rFonts w:eastAsia="Times New Roman" w:cstheme="minorHAnsi"/>
        </w:rPr>
        <w:t xml:space="preserve">, </w:t>
      </w:r>
      <w:r w:rsidRPr="007E5EEC">
        <w:rPr>
          <w:rFonts w:eastAsia="Times New Roman" w:cstheme="minorHAnsi"/>
        </w:rPr>
        <w:t xml:space="preserve"> n.i.e</w:t>
      </w:r>
      <w:r w:rsidR="00222AE0">
        <w:rPr>
          <w:rFonts w:eastAsia="Times New Roman" w:cstheme="minorHAnsi"/>
        </w:rPr>
        <w:t>.</w:t>
      </w:r>
      <w:r w:rsidR="00AE32F0">
        <w:rPr>
          <w:rFonts w:eastAsia="Times New Roman" w:cstheme="minorHAnsi"/>
        </w:rPr>
        <w:t>,</w:t>
      </w:r>
      <w:r w:rsidR="00222AE0">
        <w:rPr>
          <w:rFonts w:eastAsia="Times New Roman" w:cstheme="minorHAnsi"/>
        </w:rPr>
        <w:t xml:space="preserve"> </w:t>
      </w:r>
      <w:r w:rsidRPr="007E5EEC">
        <w:rPr>
          <w:rFonts w:eastAsia="Times New Roman" w:cstheme="minorHAnsi"/>
        </w:rPr>
        <w:t xml:space="preserve">include charges for the use of property rights (such as patent, trademarks, copyrights, industrial processes and designs including </w:t>
      </w:r>
      <w:r w:rsidR="009762B3">
        <w:rPr>
          <w:rFonts w:eastAsia="Times New Roman" w:cstheme="minorHAnsi"/>
        </w:rPr>
        <w:t>busine</w:t>
      </w:r>
      <w:r w:rsidR="007A3BF6">
        <w:rPr>
          <w:rFonts w:eastAsia="Times New Roman" w:cstheme="minorHAnsi"/>
        </w:rPr>
        <w:t>ss</w:t>
      </w:r>
      <w:r w:rsidRPr="007E5EEC">
        <w:rPr>
          <w:rFonts w:eastAsia="Times New Roman" w:cstheme="minorHAnsi"/>
        </w:rPr>
        <w:t xml:space="preserve"> secrets, franchises). </w:t>
      </w:r>
      <w:r w:rsidR="00B82039" w:rsidRPr="007E5EEC">
        <w:rPr>
          <w:rFonts w:eastAsia="Times New Roman" w:cstheme="minorHAnsi"/>
        </w:rPr>
        <w:t xml:space="preserve">The </w:t>
      </w:r>
      <w:r w:rsidRPr="007E5EEC">
        <w:rPr>
          <w:rFonts w:eastAsia="Times New Roman" w:cstheme="minorHAnsi"/>
        </w:rPr>
        <w:t xml:space="preserve">ITRS is the </w:t>
      </w:r>
      <w:r w:rsidR="007A3BF6">
        <w:rPr>
          <w:rFonts w:eastAsia="Times New Roman" w:cstheme="minorHAnsi"/>
        </w:rPr>
        <w:t xml:space="preserve">main </w:t>
      </w:r>
      <w:r w:rsidRPr="007E5EEC">
        <w:rPr>
          <w:rFonts w:eastAsia="Times New Roman" w:cstheme="minorHAnsi"/>
        </w:rPr>
        <w:t xml:space="preserve">source </w:t>
      </w:r>
      <w:r w:rsidR="00B82039" w:rsidRPr="007E5EEC">
        <w:rPr>
          <w:rFonts w:eastAsia="Times New Roman" w:cstheme="minorHAnsi"/>
        </w:rPr>
        <w:t>of these data.</w:t>
      </w:r>
    </w:p>
    <w:p w14:paraId="568CB7A7" w14:textId="77777777" w:rsidR="00954A18" w:rsidRPr="007E5EEC" w:rsidRDefault="00954A18" w:rsidP="00954A18">
      <w:pPr>
        <w:pStyle w:val="Heading2"/>
        <w:rPr>
          <w:rFonts w:asciiTheme="minorHAnsi" w:hAnsiTheme="minorHAnsi" w:cstheme="minorHAnsi"/>
          <w:sz w:val="22"/>
          <w:szCs w:val="22"/>
        </w:rPr>
      </w:pPr>
      <w:r w:rsidRPr="007E5EEC">
        <w:rPr>
          <w:rFonts w:asciiTheme="minorHAnsi" w:hAnsiTheme="minorHAnsi" w:cstheme="minorHAnsi"/>
          <w:sz w:val="22"/>
          <w:szCs w:val="22"/>
        </w:rPr>
        <w:t>Telecommunications, computer, and information services</w:t>
      </w:r>
    </w:p>
    <w:p w14:paraId="6F6E6459" w14:textId="4B95BA28" w:rsidR="002E5908" w:rsidRPr="007E5EEC" w:rsidRDefault="002623A1" w:rsidP="001D23FC">
      <w:pPr>
        <w:tabs>
          <w:tab w:val="left" w:pos="1440"/>
        </w:tabs>
        <w:spacing w:before="120" w:after="120" w:line="276" w:lineRule="auto"/>
        <w:jc w:val="both"/>
        <w:rPr>
          <w:rFonts w:eastAsia="Times New Roman" w:cstheme="minorHAnsi"/>
        </w:rPr>
      </w:pPr>
      <w:r w:rsidRPr="002623A1">
        <w:rPr>
          <w:rFonts w:eastAsia="Times New Roman" w:cstheme="minorHAnsi"/>
        </w:rPr>
        <w:t xml:space="preserve">Computer and telecommunication services are defined in terms of the nature of the service, not the method of delivery. Only amounts payable/receivable for transmission should be included and not the content of transmission. </w:t>
      </w:r>
      <w:r w:rsidR="00954A18" w:rsidRPr="007E5EEC">
        <w:rPr>
          <w:rFonts w:eastAsia="Times New Roman" w:cstheme="minorHAnsi"/>
        </w:rPr>
        <w:t>Telecommunications services covers the broadcast or transmission of sound, images, data, or  other information by telephone, telex, telegram, radio and television cable transmission, radio and television satellite, electronic mail, facsimile, etc., and includes business network services, teleconferencing and support services.</w:t>
      </w:r>
      <w:r w:rsidR="009A4002" w:rsidRPr="009A4002">
        <w:t xml:space="preserve"> </w:t>
      </w:r>
      <w:r w:rsidR="009A4002" w:rsidRPr="009A4002">
        <w:rPr>
          <w:rFonts w:eastAsia="Times New Roman" w:cstheme="minorHAnsi"/>
        </w:rPr>
        <w:t xml:space="preserve">Also included are mobile telecommunications services, internet backbone services and online access services, including access to the internet. </w:t>
      </w:r>
      <w:r w:rsidR="00BD3EE9" w:rsidRPr="007E5EEC">
        <w:rPr>
          <w:rFonts w:eastAsia="Times New Roman" w:cstheme="minorHAnsi"/>
        </w:rPr>
        <w:t>Data are collected by direct survey of postal and telecommunications operators</w:t>
      </w:r>
      <w:r w:rsidR="002E5908" w:rsidRPr="007E5EEC">
        <w:rPr>
          <w:rFonts w:eastAsia="Times New Roman" w:cstheme="minorHAnsi"/>
        </w:rPr>
        <w:t>.</w:t>
      </w:r>
      <w:r>
        <w:rPr>
          <w:rFonts w:eastAsia="Times New Roman" w:cstheme="minorHAnsi"/>
        </w:rPr>
        <w:t xml:space="preserve"> </w:t>
      </w:r>
      <w:r w:rsidR="001D23FC" w:rsidRPr="001D23FC">
        <w:rPr>
          <w:rFonts w:eastAsia="Times New Roman" w:cstheme="minorHAnsi"/>
        </w:rPr>
        <w:t>Computer services consists of hardware and software-related services and data</w:t>
      </w:r>
      <w:r w:rsidR="001D23FC">
        <w:rPr>
          <w:rFonts w:eastAsia="Times New Roman" w:cstheme="minorHAnsi"/>
        </w:rPr>
        <w:t xml:space="preserve"> </w:t>
      </w:r>
      <w:r w:rsidR="001D23FC" w:rsidRPr="001D23FC">
        <w:rPr>
          <w:rFonts w:eastAsia="Times New Roman" w:cstheme="minorHAnsi"/>
        </w:rPr>
        <w:t>processing</w:t>
      </w:r>
      <w:r w:rsidR="001D23FC">
        <w:rPr>
          <w:rFonts w:eastAsia="Times New Roman" w:cstheme="minorHAnsi"/>
        </w:rPr>
        <w:t xml:space="preserve"> </w:t>
      </w:r>
      <w:r w:rsidR="001D23FC" w:rsidRPr="001D23FC">
        <w:rPr>
          <w:rFonts w:eastAsia="Times New Roman" w:cstheme="minorHAnsi"/>
        </w:rPr>
        <w:t>services.</w:t>
      </w:r>
      <w:r w:rsidR="001D23FC">
        <w:rPr>
          <w:rFonts w:eastAsia="Times New Roman" w:cstheme="minorHAnsi"/>
        </w:rPr>
        <w:t xml:space="preserve"> </w:t>
      </w:r>
      <w:r w:rsidR="001D23FC" w:rsidRPr="001D23FC">
        <w:rPr>
          <w:rFonts w:eastAsia="Times New Roman" w:cstheme="minorHAnsi"/>
        </w:rPr>
        <w:t>Information services is divided into news agency services and other information services</w:t>
      </w:r>
      <w:r w:rsidR="001D23FC">
        <w:rPr>
          <w:rFonts w:eastAsia="Times New Roman" w:cstheme="minorHAnsi"/>
        </w:rPr>
        <w:t>.</w:t>
      </w:r>
      <w:r w:rsidR="001D23FC" w:rsidRPr="001D23FC">
        <w:rPr>
          <w:rFonts w:eastAsia="Times New Roman" w:cstheme="minorHAnsi"/>
        </w:rPr>
        <w:t xml:space="preserve"> </w:t>
      </w:r>
      <w:r w:rsidR="001D23FC">
        <w:rPr>
          <w:rFonts w:eastAsia="Times New Roman" w:cstheme="minorHAnsi"/>
        </w:rPr>
        <w:t xml:space="preserve">The first </w:t>
      </w:r>
      <w:r w:rsidR="001D23FC" w:rsidRPr="001D23FC">
        <w:rPr>
          <w:rFonts w:eastAsia="Times New Roman" w:cstheme="minorHAnsi"/>
        </w:rPr>
        <w:t xml:space="preserve">includes </w:t>
      </w:r>
      <w:r w:rsidR="00222E10">
        <w:rPr>
          <w:rFonts w:eastAsia="Times New Roman" w:cstheme="minorHAnsi"/>
        </w:rPr>
        <w:t xml:space="preserve"> </w:t>
      </w:r>
      <w:r w:rsidR="001D23FC" w:rsidRPr="001D23FC">
        <w:rPr>
          <w:rFonts w:eastAsia="Times New Roman" w:cstheme="minorHAnsi"/>
        </w:rPr>
        <w:t>the provision of news, photographs and feature</w:t>
      </w:r>
      <w:r w:rsidR="001D23FC">
        <w:rPr>
          <w:rFonts w:eastAsia="Times New Roman" w:cstheme="minorHAnsi"/>
        </w:rPr>
        <w:t xml:space="preserve"> </w:t>
      </w:r>
      <w:r w:rsidR="001D23FC" w:rsidRPr="001D23FC">
        <w:rPr>
          <w:rFonts w:eastAsia="Times New Roman" w:cstheme="minorHAnsi"/>
        </w:rPr>
        <w:t>articles to the media</w:t>
      </w:r>
      <w:r w:rsidR="001D23FC">
        <w:rPr>
          <w:rFonts w:eastAsia="Times New Roman" w:cstheme="minorHAnsi"/>
        </w:rPr>
        <w:t xml:space="preserve"> while o</w:t>
      </w:r>
      <w:r w:rsidR="001D23FC" w:rsidRPr="001D23FC">
        <w:rPr>
          <w:rFonts w:eastAsia="Times New Roman" w:cstheme="minorHAnsi"/>
        </w:rPr>
        <w:t>ther information services includes database services, such as database conception,</w:t>
      </w:r>
      <w:r w:rsidR="001D23FC">
        <w:rPr>
          <w:rFonts w:eastAsia="Times New Roman" w:cstheme="minorHAnsi"/>
        </w:rPr>
        <w:t xml:space="preserve"> </w:t>
      </w:r>
      <w:r w:rsidR="001D23FC" w:rsidRPr="001D23FC">
        <w:rPr>
          <w:rFonts w:eastAsia="Times New Roman" w:cstheme="minorHAnsi"/>
        </w:rPr>
        <w:t>data storage, and the dissemination of data and databases (including</w:t>
      </w:r>
      <w:r w:rsidR="001D23FC">
        <w:rPr>
          <w:rFonts w:eastAsia="Times New Roman" w:cstheme="minorHAnsi"/>
        </w:rPr>
        <w:t xml:space="preserve"> </w:t>
      </w:r>
      <w:r w:rsidR="001D23FC" w:rsidRPr="001D23FC">
        <w:rPr>
          <w:rFonts w:eastAsia="Times New Roman" w:cstheme="minorHAnsi"/>
        </w:rPr>
        <w:t>directories and mailing lists),</w:t>
      </w:r>
      <w:r w:rsidR="001D23FC">
        <w:rPr>
          <w:rFonts w:eastAsia="Times New Roman" w:cstheme="minorHAnsi"/>
        </w:rPr>
        <w:t xml:space="preserve"> etc. </w:t>
      </w:r>
      <w:r w:rsidRPr="002623A1">
        <w:rPr>
          <w:rFonts w:eastAsia="Times New Roman" w:cstheme="minorHAnsi"/>
        </w:rPr>
        <w:t>Computer services are collected from an administrative source while information services are collected through ITRS.</w:t>
      </w:r>
    </w:p>
    <w:p w14:paraId="790C8CA3" w14:textId="77777777" w:rsidR="00954A18" w:rsidRPr="007E5EEC" w:rsidRDefault="00954A18" w:rsidP="002E5908">
      <w:pPr>
        <w:pStyle w:val="Heading2"/>
        <w:rPr>
          <w:rFonts w:asciiTheme="minorHAnsi" w:hAnsiTheme="minorHAnsi" w:cstheme="minorHAnsi"/>
          <w:sz w:val="22"/>
          <w:szCs w:val="22"/>
        </w:rPr>
      </w:pPr>
      <w:r w:rsidRPr="007E5EEC">
        <w:rPr>
          <w:rFonts w:asciiTheme="minorHAnsi" w:hAnsiTheme="minorHAnsi" w:cstheme="minorHAnsi"/>
          <w:sz w:val="22"/>
          <w:szCs w:val="22"/>
        </w:rPr>
        <w:t>Other business services</w:t>
      </w:r>
    </w:p>
    <w:p w14:paraId="717C2F0A" w14:textId="77777777" w:rsidR="00954A18" w:rsidRPr="007E5EEC" w:rsidRDefault="00954A18" w:rsidP="00954A18">
      <w:pPr>
        <w:tabs>
          <w:tab w:val="left" w:pos="1440"/>
        </w:tabs>
        <w:spacing w:before="120" w:after="120" w:line="276" w:lineRule="auto"/>
        <w:jc w:val="both"/>
        <w:rPr>
          <w:rFonts w:eastAsia="Times New Roman" w:cstheme="minorHAnsi"/>
        </w:rPr>
      </w:pPr>
      <w:r w:rsidRPr="007E5EEC">
        <w:rPr>
          <w:rFonts w:eastAsia="Times New Roman" w:cstheme="minorHAnsi"/>
        </w:rPr>
        <w:t xml:space="preserve">Other business services include Research and development services; Professional and management consulting services; Technical, trade-related and other business services. ITRS is the main data source for both credit and debit </w:t>
      </w:r>
      <w:r w:rsidR="00671292" w:rsidRPr="007E5EEC">
        <w:rPr>
          <w:rFonts w:eastAsia="Times New Roman" w:cstheme="minorHAnsi"/>
        </w:rPr>
        <w:t>side</w:t>
      </w:r>
      <w:r w:rsidRPr="007E5EEC">
        <w:rPr>
          <w:rFonts w:eastAsia="Times New Roman" w:cstheme="minorHAnsi"/>
        </w:rPr>
        <w:t xml:space="preserve"> as well as for</w:t>
      </w:r>
      <w:r w:rsidR="00995AE4" w:rsidRPr="007E5EEC">
        <w:rPr>
          <w:rFonts w:eastAsia="Times New Roman" w:cstheme="minorHAnsi"/>
        </w:rPr>
        <w:t xml:space="preserve"> geographical </w:t>
      </w:r>
      <w:r w:rsidR="00B46F84" w:rsidRPr="007E5EEC">
        <w:rPr>
          <w:rFonts w:eastAsia="Times New Roman" w:cstheme="minorHAnsi"/>
        </w:rPr>
        <w:t>(GEO) presentation of the data</w:t>
      </w:r>
      <w:r w:rsidRPr="007E5EEC">
        <w:rPr>
          <w:rFonts w:eastAsia="Times New Roman" w:cstheme="minorHAnsi"/>
        </w:rPr>
        <w:t>.</w:t>
      </w:r>
    </w:p>
    <w:p w14:paraId="44258D24" w14:textId="77777777" w:rsidR="00954A18" w:rsidRPr="007E5EEC" w:rsidRDefault="00954A18" w:rsidP="002E5908">
      <w:pPr>
        <w:pStyle w:val="Heading2"/>
        <w:rPr>
          <w:rFonts w:asciiTheme="minorHAnsi" w:hAnsiTheme="minorHAnsi" w:cstheme="minorHAnsi"/>
          <w:sz w:val="22"/>
          <w:szCs w:val="22"/>
        </w:rPr>
      </w:pPr>
      <w:r w:rsidRPr="007E5EEC">
        <w:rPr>
          <w:rFonts w:asciiTheme="minorHAnsi" w:hAnsiTheme="minorHAnsi" w:cstheme="minorHAnsi"/>
          <w:sz w:val="22"/>
          <w:szCs w:val="22"/>
        </w:rPr>
        <w:t>Personal, cultural and recreational services</w:t>
      </w:r>
    </w:p>
    <w:p w14:paraId="6FA47751" w14:textId="4A136DBE" w:rsidR="00954A18" w:rsidRPr="007E5EEC" w:rsidRDefault="00954A18" w:rsidP="00954A18">
      <w:pPr>
        <w:tabs>
          <w:tab w:val="left" w:pos="1440"/>
        </w:tabs>
        <w:spacing w:before="120" w:after="120" w:line="276" w:lineRule="auto"/>
        <w:jc w:val="both"/>
        <w:rPr>
          <w:rFonts w:eastAsia="Times New Roman" w:cstheme="minorHAnsi"/>
        </w:rPr>
      </w:pPr>
      <w:r w:rsidRPr="007E5EEC">
        <w:rPr>
          <w:rFonts w:eastAsia="Times New Roman" w:cstheme="minorHAnsi"/>
        </w:rPr>
        <w:t>Personal, cultural, and recreational services comprises two sub-components, audio</w:t>
      </w:r>
      <w:r w:rsidR="00B46F84" w:rsidRPr="007E5EEC">
        <w:rPr>
          <w:rFonts w:eastAsia="Times New Roman" w:cstheme="minorHAnsi"/>
        </w:rPr>
        <w:t>-</w:t>
      </w:r>
      <w:r w:rsidRPr="007E5EEC">
        <w:rPr>
          <w:rFonts w:eastAsia="Times New Roman" w:cstheme="minorHAnsi"/>
        </w:rPr>
        <w:t>visual and related services and other personal, cultural, and recreational services. Audio-visual and related services cover services associated with audio-visual activities (movies, music, radio and television)</w:t>
      </w:r>
      <w:r w:rsidR="00222E10">
        <w:rPr>
          <w:rFonts w:eastAsia="Times New Roman" w:cstheme="minorHAnsi"/>
        </w:rPr>
        <w:t>,</w:t>
      </w:r>
      <w:r w:rsidRPr="007E5EEC">
        <w:rPr>
          <w:rFonts w:eastAsia="Times New Roman" w:cstheme="minorHAnsi"/>
        </w:rPr>
        <w:t xml:space="preserve"> as well as services relating to the performing arts.</w:t>
      </w:r>
      <w:r w:rsidR="00FC6E42" w:rsidRPr="007E5EEC">
        <w:rPr>
          <w:rFonts w:eastAsia="Times New Roman" w:cstheme="minorHAnsi"/>
        </w:rPr>
        <w:t xml:space="preserve"> </w:t>
      </w:r>
      <w:r w:rsidRPr="007E5EEC">
        <w:rPr>
          <w:rFonts w:eastAsia="Times New Roman" w:cstheme="minorHAnsi"/>
        </w:rPr>
        <w:t xml:space="preserve">Other personal, cultural, and recreational services are divided into four components: health services, education services, heritage and recreational services and other personal services. </w:t>
      </w:r>
      <w:r w:rsidR="00E71F72" w:rsidRPr="007E5EEC">
        <w:rPr>
          <w:rFonts w:eastAsia="Times New Roman" w:cstheme="minorHAnsi"/>
        </w:rPr>
        <w:t>Combination of sources</w:t>
      </w:r>
      <w:r w:rsidR="00B46F84" w:rsidRPr="007E5EEC">
        <w:rPr>
          <w:rFonts w:eastAsia="Times New Roman" w:cstheme="minorHAnsi"/>
        </w:rPr>
        <w:t xml:space="preserve"> is used,</w:t>
      </w:r>
      <w:r w:rsidR="00E71F72" w:rsidRPr="007E5EEC">
        <w:rPr>
          <w:rFonts w:eastAsia="Times New Roman" w:cstheme="minorHAnsi"/>
        </w:rPr>
        <w:t xml:space="preserve"> </w:t>
      </w:r>
      <w:r w:rsidR="00B46F84" w:rsidRPr="007E5EEC">
        <w:rPr>
          <w:rFonts w:eastAsia="Times New Roman" w:cstheme="minorHAnsi"/>
        </w:rPr>
        <w:t>for the audio-visual service component data are collected by direct survey of postal and telecommunications operators while for the rest of the services ITRS is used.</w:t>
      </w:r>
      <w:r w:rsidR="00671292" w:rsidRPr="007E5EEC">
        <w:rPr>
          <w:rFonts w:eastAsia="Times New Roman" w:cstheme="minorHAnsi"/>
        </w:rPr>
        <w:t xml:space="preserve"> </w:t>
      </w:r>
    </w:p>
    <w:p w14:paraId="13824515" w14:textId="6665EA5D" w:rsidR="00954A18" w:rsidRPr="007E5EEC" w:rsidRDefault="00954A18" w:rsidP="002E5908">
      <w:pPr>
        <w:pStyle w:val="Heading2"/>
        <w:rPr>
          <w:rFonts w:asciiTheme="minorHAnsi" w:hAnsiTheme="minorHAnsi" w:cstheme="minorHAnsi"/>
          <w:sz w:val="22"/>
          <w:szCs w:val="22"/>
        </w:rPr>
      </w:pPr>
      <w:r w:rsidRPr="007E5EEC">
        <w:rPr>
          <w:rFonts w:asciiTheme="minorHAnsi" w:hAnsiTheme="minorHAnsi" w:cstheme="minorHAnsi"/>
          <w:sz w:val="22"/>
          <w:szCs w:val="22"/>
        </w:rPr>
        <w:t>Government goods and services</w:t>
      </w:r>
      <w:r w:rsidR="00222E10">
        <w:rPr>
          <w:rFonts w:asciiTheme="minorHAnsi" w:hAnsiTheme="minorHAnsi" w:cstheme="minorHAnsi"/>
          <w:sz w:val="22"/>
          <w:szCs w:val="22"/>
        </w:rPr>
        <w:t>,</w:t>
      </w:r>
      <w:r w:rsidRPr="007E5EEC">
        <w:rPr>
          <w:rFonts w:asciiTheme="minorHAnsi" w:hAnsiTheme="minorHAnsi" w:cstheme="minorHAnsi"/>
          <w:sz w:val="22"/>
          <w:szCs w:val="22"/>
        </w:rPr>
        <w:t xml:space="preserve"> n.i.e</w:t>
      </w:r>
    </w:p>
    <w:bookmarkEnd w:id="27"/>
    <w:p w14:paraId="07A0E46A" w14:textId="45711AC8" w:rsidR="00954A18" w:rsidRPr="007E5EEC" w:rsidRDefault="007E5EEC" w:rsidP="007E5EEC">
      <w:pPr>
        <w:tabs>
          <w:tab w:val="left" w:pos="1440"/>
        </w:tabs>
        <w:spacing w:before="120" w:after="120" w:line="276" w:lineRule="auto"/>
        <w:jc w:val="both"/>
        <w:rPr>
          <w:rFonts w:eastAsia="Times New Roman" w:cstheme="minorHAnsi"/>
        </w:rPr>
      </w:pPr>
      <w:r w:rsidRPr="007E5EEC">
        <w:rPr>
          <w:rFonts w:eastAsia="Times New Roman" w:cstheme="minorHAnsi"/>
        </w:rPr>
        <w:t>Government goods and services</w:t>
      </w:r>
      <w:r w:rsidR="00AE32F0">
        <w:rPr>
          <w:rFonts w:eastAsia="Times New Roman" w:cstheme="minorHAnsi"/>
        </w:rPr>
        <w:t>,</w:t>
      </w:r>
      <w:r w:rsidRPr="007E5EEC">
        <w:rPr>
          <w:rFonts w:eastAsia="Times New Roman" w:cstheme="minorHAnsi"/>
        </w:rPr>
        <w:t xml:space="preserve"> n.i.e</w:t>
      </w:r>
      <w:r w:rsidR="00AE32F0">
        <w:rPr>
          <w:rFonts w:eastAsia="Times New Roman" w:cstheme="minorHAnsi"/>
        </w:rPr>
        <w:t>, cover</w:t>
      </w:r>
      <w:r w:rsidRPr="007E5EEC">
        <w:rPr>
          <w:rFonts w:eastAsia="Times New Roman" w:cstheme="minorHAnsi"/>
        </w:rPr>
        <w:t>: goods and services supplied by and to enclaves, such as embassies and military bases; goods and services acquired from the host economy by diplomats, consular staff and military personnel located abroad as well as services supplied by and to governments and not included in other categories. EBOPS 2010 recommends further breakdown of these services into: embassies and consulates, military units and agencies and to othe</w:t>
      </w:r>
      <w:r w:rsidR="00AE32F0">
        <w:rPr>
          <w:rFonts w:eastAsia="Times New Roman" w:cstheme="minorHAnsi"/>
        </w:rPr>
        <w:t xml:space="preserve">r government goods and services, </w:t>
      </w:r>
      <w:r w:rsidRPr="007E5EEC">
        <w:rPr>
          <w:rFonts w:eastAsia="Times New Roman" w:cstheme="minorHAnsi"/>
        </w:rPr>
        <w:t>n.i.e. As already said, this breakdown is based on the</w:t>
      </w:r>
      <w:r w:rsidR="00AE32F0">
        <w:rPr>
          <w:rFonts w:eastAsia="Times New Roman" w:cstheme="minorHAnsi"/>
        </w:rPr>
        <w:t xml:space="preserve"> </w:t>
      </w:r>
      <w:r w:rsidRPr="007E5EEC">
        <w:rPr>
          <w:rFonts w:eastAsia="Times New Roman" w:cstheme="minorHAnsi"/>
        </w:rPr>
        <w:t xml:space="preserve"> transactor, that is, the government unit undertaking the transaction, rather than on the type of transaction. Data source for imports of government goods and services</w:t>
      </w:r>
      <w:r w:rsidR="00AE32F0">
        <w:rPr>
          <w:rFonts w:eastAsia="Times New Roman" w:cstheme="minorHAnsi"/>
        </w:rPr>
        <w:t>,</w:t>
      </w:r>
      <w:r w:rsidRPr="007E5EEC">
        <w:rPr>
          <w:rFonts w:eastAsia="Times New Roman" w:cstheme="minorHAnsi"/>
        </w:rPr>
        <w:t xml:space="preserve"> n.i.e</w:t>
      </w:r>
      <w:r w:rsidR="00AE32F0">
        <w:rPr>
          <w:rFonts w:eastAsia="Times New Roman" w:cstheme="minorHAnsi"/>
        </w:rPr>
        <w:t>.,</w:t>
      </w:r>
      <w:r w:rsidRPr="007E5EEC">
        <w:rPr>
          <w:rFonts w:eastAsia="Times New Roman" w:cstheme="minorHAnsi"/>
        </w:rPr>
        <w:t xml:space="preserve"> i</w:t>
      </w:r>
      <w:r w:rsidR="00AE32F0">
        <w:rPr>
          <w:rFonts w:eastAsia="Times New Roman" w:cstheme="minorHAnsi"/>
        </w:rPr>
        <w:t>s</w:t>
      </w:r>
      <w:r w:rsidRPr="007E5EEC">
        <w:rPr>
          <w:rFonts w:eastAsia="Times New Roman" w:cstheme="minorHAnsi"/>
        </w:rPr>
        <w:t xml:space="preserve"> the BH Ministry of Foreign Affairs. </w:t>
      </w:r>
      <w:r w:rsidR="0099667D">
        <w:rPr>
          <w:rFonts w:eastAsia="Times New Roman" w:cstheme="minorHAnsi"/>
        </w:rPr>
        <w:t>Credit</w:t>
      </w:r>
      <w:r w:rsidRPr="007E5EEC">
        <w:rPr>
          <w:rFonts w:eastAsia="Times New Roman" w:cstheme="minorHAnsi"/>
        </w:rPr>
        <w:t xml:space="preserve"> side of these services is estimated based on number of foreign </w:t>
      </w:r>
      <w:r w:rsidRPr="007E5EEC">
        <w:rPr>
          <w:rFonts w:eastAsia="Times New Roman" w:cstheme="minorHAnsi"/>
        </w:rPr>
        <w:lastRenderedPageBreak/>
        <w:t>governments (embassies and international civil and military units) present in BH territory and their expenditures in BH.</w:t>
      </w:r>
    </w:p>
    <w:sectPr w:rsidR="00954A18" w:rsidRPr="007E5EEC" w:rsidSect="00985FA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15A"/>
    <w:multiLevelType w:val="hybridMultilevel"/>
    <w:tmpl w:val="95B23948"/>
    <w:lvl w:ilvl="0" w:tplc="14CC2722">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5F4761CD"/>
    <w:multiLevelType w:val="multilevel"/>
    <w:tmpl w:val="DE261D1E"/>
    <w:lvl w:ilvl="0">
      <w:start w:val="1"/>
      <w:numFmt w:val="decimal"/>
      <w:pStyle w:val="Heading1"/>
      <w:lvlText w:val="Chapter %1"/>
      <w:lvlJc w:val="left"/>
      <w:pPr>
        <w:tabs>
          <w:tab w:val="num" w:pos="480"/>
        </w:tabs>
        <w:ind w:left="480" w:hanging="480"/>
      </w:pPr>
      <w:rPr>
        <w:rFonts w:ascii="Times New Roman" w:hAnsi="Times New Roman" w:cs="Times New Roman" w:hint="default"/>
        <w:sz w:val="24"/>
        <w:szCs w:val="24"/>
      </w:rPr>
    </w:lvl>
    <w:lvl w:ilvl="1">
      <w:start w:val="1"/>
      <w:numFmt w:val="decimal"/>
      <w:pStyle w:val="Heading2"/>
      <w:lvlText w:val="%1.%2"/>
      <w:lvlJc w:val="left"/>
      <w:pPr>
        <w:tabs>
          <w:tab w:val="num" w:pos="1049"/>
        </w:tabs>
        <w:ind w:left="1049" w:hanging="624"/>
      </w:pPr>
      <w:rPr>
        <w:rFonts w:hint="default"/>
      </w:rPr>
    </w:lvl>
    <w:lvl w:ilvl="2">
      <w:start w:val="1"/>
      <w:numFmt w:val="decimal"/>
      <w:pStyle w:val="Heading3"/>
      <w:lvlText w:val="%1.%2.%3"/>
      <w:lvlJc w:val="left"/>
      <w:pPr>
        <w:tabs>
          <w:tab w:val="num" w:pos="1288"/>
        </w:tabs>
        <w:ind w:left="1288"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none"/>
      <w:lvlText w:val="3.3.3.2.1"/>
      <w:lvlJc w:val="left"/>
      <w:pPr>
        <w:tabs>
          <w:tab w:val="num" w:pos="600"/>
        </w:tabs>
        <w:ind w:left="600" w:hanging="360"/>
      </w:pPr>
      <w:rPr>
        <w:rFonts w:hint="default"/>
      </w:rPr>
    </w:lvl>
    <w:lvl w:ilvl="5">
      <w:start w:val="1"/>
      <w:numFmt w:val="none"/>
      <w:lvlText w:val="1.1.1.1.1.1"/>
      <w:lvlJc w:val="left"/>
      <w:pPr>
        <w:tabs>
          <w:tab w:val="num" w:pos="960"/>
        </w:tabs>
        <w:ind w:left="960" w:hanging="360"/>
      </w:pPr>
      <w:rPr>
        <w:rFonts w:hint="default"/>
      </w:rPr>
    </w:lvl>
    <w:lvl w:ilvl="6">
      <w:start w:val="1"/>
      <w:numFmt w:val="decimal"/>
      <w:lvlText w:val="%7."/>
      <w:lvlJc w:val="left"/>
      <w:pPr>
        <w:tabs>
          <w:tab w:val="num" w:pos="1320"/>
        </w:tabs>
        <w:ind w:left="1320" w:hanging="360"/>
      </w:pPr>
      <w:rPr>
        <w:rFonts w:hint="default"/>
      </w:rPr>
    </w:lvl>
    <w:lvl w:ilvl="7">
      <w:start w:val="1"/>
      <w:numFmt w:val="lowerLetter"/>
      <w:lvlText w:val="%8."/>
      <w:lvlJc w:val="left"/>
      <w:pPr>
        <w:tabs>
          <w:tab w:val="num" w:pos="1680"/>
        </w:tabs>
        <w:ind w:left="1680" w:hanging="360"/>
      </w:pPr>
      <w:rPr>
        <w:rFonts w:hint="default"/>
      </w:rPr>
    </w:lvl>
    <w:lvl w:ilvl="8">
      <w:start w:val="1"/>
      <w:numFmt w:val="lowerRoman"/>
      <w:lvlText w:val="%9."/>
      <w:lvlJc w:val="left"/>
      <w:pPr>
        <w:tabs>
          <w:tab w:val="num" w:pos="2040"/>
        </w:tabs>
        <w:ind w:left="2040" w:hanging="3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CF"/>
    <w:rsid w:val="000233F3"/>
    <w:rsid w:val="0002555C"/>
    <w:rsid w:val="000507D1"/>
    <w:rsid w:val="00070A8C"/>
    <w:rsid w:val="000B1D3D"/>
    <w:rsid w:val="000F3B10"/>
    <w:rsid w:val="000F57F7"/>
    <w:rsid w:val="00101745"/>
    <w:rsid w:val="00102429"/>
    <w:rsid w:val="0010357B"/>
    <w:rsid w:val="00116736"/>
    <w:rsid w:val="00131F0F"/>
    <w:rsid w:val="0014218C"/>
    <w:rsid w:val="001D23FC"/>
    <w:rsid w:val="001D5DB4"/>
    <w:rsid w:val="001E026E"/>
    <w:rsid w:val="00222AE0"/>
    <w:rsid w:val="00222E10"/>
    <w:rsid w:val="00254802"/>
    <w:rsid w:val="002623A1"/>
    <w:rsid w:val="0028124D"/>
    <w:rsid w:val="002B4466"/>
    <w:rsid w:val="002B690E"/>
    <w:rsid w:val="002E5908"/>
    <w:rsid w:val="003308EA"/>
    <w:rsid w:val="003C21A5"/>
    <w:rsid w:val="004A6B78"/>
    <w:rsid w:val="004B0E4C"/>
    <w:rsid w:val="004E4C25"/>
    <w:rsid w:val="004F160D"/>
    <w:rsid w:val="00561F09"/>
    <w:rsid w:val="00593380"/>
    <w:rsid w:val="005D68D2"/>
    <w:rsid w:val="005D696D"/>
    <w:rsid w:val="006540F1"/>
    <w:rsid w:val="00665831"/>
    <w:rsid w:val="00667AF7"/>
    <w:rsid w:val="00671292"/>
    <w:rsid w:val="006A5CCF"/>
    <w:rsid w:val="006F3D76"/>
    <w:rsid w:val="007334C8"/>
    <w:rsid w:val="00773236"/>
    <w:rsid w:val="007912F6"/>
    <w:rsid w:val="007A3BF6"/>
    <w:rsid w:val="007E5EEC"/>
    <w:rsid w:val="00845C78"/>
    <w:rsid w:val="00846F42"/>
    <w:rsid w:val="00867B3C"/>
    <w:rsid w:val="008C2322"/>
    <w:rsid w:val="00926073"/>
    <w:rsid w:val="0094596C"/>
    <w:rsid w:val="00954A18"/>
    <w:rsid w:val="009762B3"/>
    <w:rsid w:val="00985FAC"/>
    <w:rsid w:val="00995AE4"/>
    <w:rsid w:val="0099667D"/>
    <w:rsid w:val="009A4002"/>
    <w:rsid w:val="009C3374"/>
    <w:rsid w:val="009D51F4"/>
    <w:rsid w:val="00A24DAF"/>
    <w:rsid w:val="00A30ECB"/>
    <w:rsid w:val="00A541D2"/>
    <w:rsid w:val="00A6127E"/>
    <w:rsid w:val="00A73C08"/>
    <w:rsid w:val="00AE32F0"/>
    <w:rsid w:val="00AE4FBB"/>
    <w:rsid w:val="00B46F84"/>
    <w:rsid w:val="00B677B9"/>
    <w:rsid w:val="00B82039"/>
    <w:rsid w:val="00BA14D5"/>
    <w:rsid w:val="00BC7AB1"/>
    <w:rsid w:val="00BD3EE9"/>
    <w:rsid w:val="00BE2718"/>
    <w:rsid w:val="00C64BB7"/>
    <w:rsid w:val="00CF66A7"/>
    <w:rsid w:val="00D47C0E"/>
    <w:rsid w:val="00D758ED"/>
    <w:rsid w:val="00D9652A"/>
    <w:rsid w:val="00DC4E87"/>
    <w:rsid w:val="00DD002E"/>
    <w:rsid w:val="00DD5DAF"/>
    <w:rsid w:val="00E136EF"/>
    <w:rsid w:val="00E30C17"/>
    <w:rsid w:val="00E71F72"/>
    <w:rsid w:val="00E918A8"/>
    <w:rsid w:val="00F44333"/>
    <w:rsid w:val="00F50ACF"/>
    <w:rsid w:val="00FB7914"/>
    <w:rsid w:val="00FC3D3F"/>
    <w:rsid w:val="00FC43DC"/>
    <w:rsid w:val="00FC6E42"/>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A541D2"/>
    <w:pPr>
      <w:keepNext/>
      <w:numPr>
        <w:numId w:val="1"/>
      </w:numPr>
      <w:tabs>
        <w:tab w:val="left" w:pos="1985"/>
      </w:tabs>
      <w:spacing w:before="240" w:after="240" w:line="240" w:lineRule="auto"/>
      <w:outlineLvl w:val="0"/>
    </w:pPr>
    <w:rPr>
      <w:rFonts w:ascii="Arial" w:eastAsia="Times New Roman" w:hAnsi="Arial" w:cs="Times New Roman"/>
      <w:b/>
      <w:smallCaps/>
      <w:sz w:val="32"/>
      <w:szCs w:val="20"/>
    </w:rPr>
  </w:style>
  <w:style w:type="paragraph" w:styleId="Heading2">
    <w:name w:val="heading 2"/>
    <w:basedOn w:val="Normal"/>
    <w:next w:val="Normal"/>
    <w:link w:val="Heading2Char"/>
    <w:qFormat/>
    <w:rsid w:val="00A541D2"/>
    <w:pPr>
      <w:keepNext/>
      <w:numPr>
        <w:ilvl w:val="1"/>
        <w:numId w:val="1"/>
      </w:numPr>
      <w:spacing w:after="240" w:line="240" w:lineRule="auto"/>
      <w:outlineLvl w:val="1"/>
    </w:pPr>
    <w:rPr>
      <w:rFonts w:ascii="Arial" w:eastAsia="Times New Roman" w:hAnsi="Arial" w:cs="Times New Roman"/>
      <w:b/>
      <w:sz w:val="26"/>
      <w:szCs w:val="26"/>
    </w:rPr>
  </w:style>
  <w:style w:type="paragraph" w:styleId="Heading3">
    <w:name w:val="heading 3"/>
    <w:basedOn w:val="Normal"/>
    <w:next w:val="Normal"/>
    <w:link w:val="Heading3Char"/>
    <w:qFormat/>
    <w:rsid w:val="00A541D2"/>
    <w:pPr>
      <w:keepNext/>
      <w:keepLines/>
      <w:numPr>
        <w:ilvl w:val="2"/>
        <w:numId w:val="1"/>
      </w:numPr>
      <w:spacing w:after="240" w:line="240" w:lineRule="auto"/>
      <w:jc w:val="both"/>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1D2"/>
    <w:rPr>
      <w:rFonts w:ascii="Arial" w:eastAsia="Times New Roman" w:hAnsi="Arial" w:cs="Times New Roman"/>
      <w:b/>
      <w:smallCaps/>
      <w:sz w:val="32"/>
      <w:szCs w:val="20"/>
      <w:lang w:val="en-GB"/>
    </w:rPr>
  </w:style>
  <w:style w:type="character" w:customStyle="1" w:styleId="Heading2Char">
    <w:name w:val="Heading 2 Char"/>
    <w:basedOn w:val="DefaultParagraphFont"/>
    <w:link w:val="Heading2"/>
    <w:rsid w:val="00A541D2"/>
    <w:rPr>
      <w:rFonts w:ascii="Arial" w:eastAsia="Times New Roman" w:hAnsi="Arial" w:cs="Times New Roman"/>
      <w:b/>
      <w:sz w:val="26"/>
      <w:szCs w:val="26"/>
      <w:lang w:val="en-GB"/>
    </w:rPr>
  </w:style>
  <w:style w:type="character" w:customStyle="1" w:styleId="Heading3Char">
    <w:name w:val="Heading 3 Char"/>
    <w:basedOn w:val="DefaultParagraphFont"/>
    <w:link w:val="Heading3"/>
    <w:rsid w:val="00A541D2"/>
    <w:rPr>
      <w:rFonts w:ascii="Arial" w:eastAsia="Times New Roman" w:hAnsi="Arial" w:cs="Times New Roman"/>
      <w:b/>
      <w:szCs w:val="20"/>
      <w:lang w:val="en-GB"/>
    </w:rPr>
  </w:style>
  <w:style w:type="paragraph" w:styleId="ListParagraph">
    <w:name w:val="List Paragraph"/>
    <w:basedOn w:val="Normal"/>
    <w:uiPriority w:val="34"/>
    <w:qFormat/>
    <w:rsid w:val="00131F0F"/>
    <w:pPr>
      <w:ind w:left="720"/>
      <w:contextualSpacing/>
    </w:pPr>
  </w:style>
  <w:style w:type="paragraph" w:styleId="BalloonText">
    <w:name w:val="Balloon Text"/>
    <w:basedOn w:val="Normal"/>
    <w:link w:val="BalloonTextChar"/>
    <w:uiPriority w:val="99"/>
    <w:semiHidden/>
    <w:unhideWhenUsed/>
    <w:rsid w:val="00593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80"/>
    <w:rPr>
      <w:rFonts w:ascii="Segoe UI" w:hAnsi="Segoe UI" w:cs="Segoe UI"/>
      <w:sz w:val="18"/>
      <w:szCs w:val="18"/>
    </w:rPr>
  </w:style>
  <w:style w:type="character" w:styleId="CommentReference">
    <w:name w:val="annotation reference"/>
    <w:basedOn w:val="DefaultParagraphFont"/>
    <w:uiPriority w:val="99"/>
    <w:semiHidden/>
    <w:unhideWhenUsed/>
    <w:rsid w:val="00846F42"/>
    <w:rPr>
      <w:sz w:val="16"/>
      <w:szCs w:val="16"/>
    </w:rPr>
  </w:style>
  <w:style w:type="paragraph" w:styleId="CommentText">
    <w:name w:val="annotation text"/>
    <w:basedOn w:val="Normal"/>
    <w:link w:val="CommentTextChar"/>
    <w:uiPriority w:val="99"/>
    <w:semiHidden/>
    <w:unhideWhenUsed/>
    <w:rsid w:val="00846F42"/>
    <w:pPr>
      <w:spacing w:line="240" w:lineRule="auto"/>
    </w:pPr>
    <w:rPr>
      <w:sz w:val="20"/>
      <w:szCs w:val="20"/>
    </w:rPr>
  </w:style>
  <w:style w:type="character" w:customStyle="1" w:styleId="CommentTextChar">
    <w:name w:val="Comment Text Char"/>
    <w:basedOn w:val="DefaultParagraphFont"/>
    <w:link w:val="CommentText"/>
    <w:uiPriority w:val="99"/>
    <w:semiHidden/>
    <w:rsid w:val="00846F42"/>
    <w:rPr>
      <w:sz w:val="20"/>
      <w:szCs w:val="20"/>
    </w:rPr>
  </w:style>
  <w:style w:type="paragraph" w:styleId="CommentSubject">
    <w:name w:val="annotation subject"/>
    <w:basedOn w:val="CommentText"/>
    <w:next w:val="CommentText"/>
    <w:link w:val="CommentSubjectChar"/>
    <w:uiPriority w:val="99"/>
    <w:semiHidden/>
    <w:unhideWhenUsed/>
    <w:rsid w:val="00846F42"/>
    <w:rPr>
      <w:b/>
      <w:bCs/>
    </w:rPr>
  </w:style>
  <w:style w:type="character" w:customStyle="1" w:styleId="CommentSubjectChar">
    <w:name w:val="Comment Subject Char"/>
    <w:basedOn w:val="CommentTextChar"/>
    <w:link w:val="CommentSubject"/>
    <w:uiPriority w:val="99"/>
    <w:semiHidden/>
    <w:rsid w:val="00846F42"/>
    <w:rPr>
      <w:b/>
      <w:bCs/>
      <w:sz w:val="20"/>
      <w:szCs w:val="20"/>
    </w:rPr>
  </w:style>
  <w:style w:type="paragraph" w:styleId="Revision">
    <w:name w:val="Revision"/>
    <w:hidden/>
    <w:uiPriority w:val="99"/>
    <w:semiHidden/>
    <w:rsid w:val="009D51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A541D2"/>
    <w:pPr>
      <w:keepNext/>
      <w:numPr>
        <w:numId w:val="1"/>
      </w:numPr>
      <w:tabs>
        <w:tab w:val="left" w:pos="1985"/>
      </w:tabs>
      <w:spacing w:before="240" w:after="240" w:line="240" w:lineRule="auto"/>
      <w:outlineLvl w:val="0"/>
    </w:pPr>
    <w:rPr>
      <w:rFonts w:ascii="Arial" w:eastAsia="Times New Roman" w:hAnsi="Arial" w:cs="Times New Roman"/>
      <w:b/>
      <w:smallCaps/>
      <w:sz w:val="32"/>
      <w:szCs w:val="20"/>
    </w:rPr>
  </w:style>
  <w:style w:type="paragraph" w:styleId="Heading2">
    <w:name w:val="heading 2"/>
    <w:basedOn w:val="Normal"/>
    <w:next w:val="Normal"/>
    <w:link w:val="Heading2Char"/>
    <w:qFormat/>
    <w:rsid w:val="00A541D2"/>
    <w:pPr>
      <w:keepNext/>
      <w:numPr>
        <w:ilvl w:val="1"/>
        <w:numId w:val="1"/>
      </w:numPr>
      <w:spacing w:after="240" w:line="240" w:lineRule="auto"/>
      <w:outlineLvl w:val="1"/>
    </w:pPr>
    <w:rPr>
      <w:rFonts w:ascii="Arial" w:eastAsia="Times New Roman" w:hAnsi="Arial" w:cs="Times New Roman"/>
      <w:b/>
      <w:sz w:val="26"/>
      <w:szCs w:val="26"/>
    </w:rPr>
  </w:style>
  <w:style w:type="paragraph" w:styleId="Heading3">
    <w:name w:val="heading 3"/>
    <w:basedOn w:val="Normal"/>
    <w:next w:val="Normal"/>
    <w:link w:val="Heading3Char"/>
    <w:qFormat/>
    <w:rsid w:val="00A541D2"/>
    <w:pPr>
      <w:keepNext/>
      <w:keepLines/>
      <w:numPr>
        <w:ilvl w:val="2"/>
        <w:numId w:val="1"/>
      </w:numPr>
      <w:spacing w:after="240" w:line="240" w:lineRule="auto"/>
      <w:jc w:val="both"/>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1D2"/>
    <w:rPr>
      <w:rFonts w:ascii="Arial" w:eastAsia="Times New Roman" w:hAnsi="Arial" w:cs="Times New Roman"/>
      <w:b/>
      <w:smallCaps/>
      <w:sz w:val="32"/>
      <w:szCs w:val="20"/>
      <w:lang w:val="en-GB"/>
    </w:rPr>
  </w:style>
  <w:style w:type="character" w:customStyle="1" w:styleId="Heading2Char">
    <w:name w:val="Heading 2 Char"/>
    <w:basedOn w:val="DefaultParagraphFont"/>
    <w:link w:val="Heading2"/>
    <w:rsid w:val="00A541D2"/>
    <w:rPr>
      <w:rFonts w:ascii="Arial" w:eastAsia="Times New Roman" w:hAnsi="Arial" w:cs="Times New Roman"/>
      <w:b/>
      <w:sz w:val="26"/>
      <w:szCs w:val="26"/>
      <w:lang w:val="en-GB"/>
    </w:rPr>
  </w:style>
  <w:style w:type="character" w:customStyle="1" w:styleId="Heading3Char">
    <w:name w:val="Heading 3 Char"/>
    <w:basedOn w:val="DefaultParagraphFont"/>
    <w:link w:val="Heading3"/>
    <w:rsid w:val="00A541D2"/>
    <w:rPr>
      <w:rFonts w:ascii="Arial" w:eastAsia="Times New Roman" w:hAnsi="Arial" w:cs="Times New Roman"/>
      <w:b/>
      <w:szCs w:val="20"/>
      <w:lang w:val="en-GB"/>
    </w:rPr>
  </w:style>
  <w:style w:type="paragraph" w:styleId="ListParagraph">
    <w:name w:val="List Paragraph"/>
    <w:basedOn w:val="Normal"/>
    <w:uiPriority w:val="34"/>
    <w:qFormat/>
    <w:rsid w:val="00131F0F"/>
    <w:pPr>
      <w:ind w:left="720"/>
      <w:contextualSpacing/>
    </w:pPr>
  </w:style>
  <w:style w:type="paragraph" w:styleId="BalloonText">
    <w:name w:val="Balloon Text"/>
    <w:basedOn w:val="Normal"/>
    <w:link w:val="BalloonTextChar"/>
    <w:uiPriority w:val="99"/>
    <w:semiHidden/>
    <w:unhideWhenUsed/>
    <w:rsid w:val="00593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380"/>
    <w:rPr>
      <w:rFonts w:ascii="Segoe UI" w:hAnsi="Segoe UI" w:cs="Segoe UI"/>
      <w:sz w:val="18"/>
      <w:szCs w:val="18"/>
    </w:rPr>
  </w:style>
  <w:style w:type="character" w:styleId="CommentReference">
    <w:name w:val="annotation reference"/>
    <w:basedOn w:val="DefaultParagraphFont"/>
    <w:uiPriority w:val="99"/>
    <w:semiHidden/>
    <w:unhideWhenUsed/>
    <w:rsid w:val="00846F42"/>
    <w:rPr>
      <w:sz w:val="16"/>
      <w:szCs w:val="16"/>
    </w:rPr>
  </w:style>
  <w:style w:type="paragraph" w:styleId="CommentText">
    <w:name w:val="annotation text"/>
    <w:basedOn w:val="Normal"/>
    <w:link w:val="CommentTextChar"/>
    <w:uiPriority w:val="99"/>
    <w:semiHidden/>
    <w:unhideWhenUsed/>
    <w:rsid w:val="00846F42"/>
    <w:pPr>
      <w:spacing w:line="240" w:lineRule="auto"/>
    </w:pPr>
    <w:rPr>
      <w:sz w:val="20"/>
      <w:szCs w:val="20"/>
    </w:rPr>
  </w:style>
  <w:style w:type="character" w:customStyle="1" w:styleId="CommentTextChar">
    <w:name w:val="Comment Text Char"/>
    <w:basedOn w:val="DefaultParagraphFont"/>
    <w:link w:val="CommentText"/>
    <w:uiPriority w:val="99"/>
    <w:semiHidden/>
    <w:rsid w:val="00846F42"/>
    <w:rPr>
      <w:sz w:val="20"/>
      <w:szCs w:val="20"/>
    </w:rPr>
  </w:style>
  <w:style w:type="paragraph" w:styleId="CommentSubject">
    <w:name w:val="annotation subject"/>
    <w:basedOn w:val="CommentText"/>
    <w:next w:val="CommentText"/>
    <w:link w:val="CommentSubjectChar"/>
    <w:uiPriority w:val="99"/>
    <w:semiHidden/>
    <w:unhideWhenUsed/>
    <w:rsid w:val="00846F42"/>
    <w:rPr>
      <w:b/>
      <w:bCs/>
    </w:rPr>
  </w:style>
  <w:style w:type="character" w:customStyle="1" w:styleId="CommentSubjectChar">
    <w:name w:val="Comment Subject Char"/>
    <w:basedOn w:val="CommentTextChar"/>
    <w:link w:val="CommentSubject"/>
    <w:uiPriority w:val="99"/>
    <w:semiHidden/>
    <w:rsid w:val="00846F42"/>
    <w:rPr>
      <w:b/>
      <w:bCs/>
      <w:sz w:val="20"/>
      <w:szCs w:val="20"/>
    </w:rPr>
  </w:style>
  <w:style w:type="paragraph" w:styleId="Revision">
    <w:name w:val="Revision"/>
    <w:hidden/>
    <w:uiPriority w:val="99"/>
    <w:semiHidden/>
    <w:rsid w:val="009D5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8974">
      <w:bodyDiv w:val="1"/>
      <w:marLeft w:val="0"/>
      <w:marRight w:val="0"/>
      <w:marTop w:val="0"/>
      <w:marBottom w:val="0"/>
      <w:divBdr>
        <w:top w:val="none" w:sz="0" w:space="0" w:color="auto"/>
        <w:left w:val="none" w:sz="0" w:space="0" w:color="auto"/>
        <w:bottom w:val="none" w:sz="0" w:space="0" w:color="auto"/>
        <w:right w:val="none" w:sz="0" w:space="0" w:color="auto"/>
      </w:divBdr>
      <w:divsChild>
        <w:div w:id="13574516">
          <w:marLeft w:val="0"/>
          <w:marRight w:val="0"/>
          <w:marTop w:val="0"/>
          <w:marBottom w:val="0"/>
          <w:divBdr>
            <w:top w:val="none" w:sz="0" w:space="0" w:color="auto"/>
            <w:left w:val="none" w:sz="0" w:space="0" w:color="auto"/>
            <w:bottom w:val="none" w:sz="0" w:space="0" w:color="auto"/>
            <w:right w:val="none" w:sz="0" w:space="0" w:color="auto"/>
          </w:divBdr>
          <w:divsChild>
            <w:div w:id="84887720">
              <w:marLeft w:val="0"/>
              <w:marRight w:val="0"/>
              <w:marTop w:val="0"/>
              <w:marBottom w:val="0"/>
              <w:divBdr>
                <w:top w:val="none" w:sz="0" w:space="0" w:color="auto"/>
                <w:left w:val="none" w:sz="0" w:space="0" w:color="auto"/>
                <w:bottom w:val="none" w:sz="0" w:space="0" w:color="auto"/>
                <w:right w:val="none" w:sz="0" w:space="0" w:color="auto"/>
              </w:divBdr>
              <w:divsChild>
                <w:div w:id="800542298">
                  <w:marLeft w:val="0"/>
                  <w:marRight w:val="0"/>
                  <w:marTop w:val="0"/>
                  <w:marBottom w:val="0"/>
                  <w:divBdr>
                    <w:top w:val="none" w:sz="0" w:space="0" w:color="auto"/>
                    <w:left w:val="none" w:sz="0" w:space="0" w:color="auto"/>
                    <w:bottom w:val="none" w:sz="0" w:space="0" w:color="auto"/>
                    <w:right w:val="none" w:sz="0" w:space="0" w:color="auto"/>
                  </w:divBdr>
                  <w:divsChild>
                    <w:div w:id="76678105">
                      <w:marLeft w:val="0"/>
                      <w:marRight w:val="0"/>
                      <w:marTop w:val="0"/>
                      <w:marBottom w:val="0"/>
                      <w:divBdr>
                        <w:top w:val="none" w:sz="0" w:space="0" w:color="auto"/>
                        <w:left w:val="none" w:sz="0" w:space="0" w:color="auto"/>
                        <w:bottom w:val="none" w:sz="0" w:space="0" w:color="auto"/>
                        <w:right w:val="none" w:sz="0" w:space="0" w:color="auto"/>
                      </w:divBdr>
                      <w:divsChild>
                        <w:div w:id="1288664846">
                          <w:marLeft w:val="0"/>
                          <w:marRight w:val="0"/>
                          <w:marTop w:val="0"/>
                          <w:marBottom w:val="0"/>
                          <w:divBdr>
                            <w:top w:val="none" w:sz="0" w:space="0" w:color="auto"/>
                            <w:left w:val="none" w:sz="0" w:space="0" w:color="auto"/>
                            <w:bottom w:val="none" w:sz="0" w:space="0" w:color="auto"/>
                            <w:right w:val="none" w:sz="0" w:space="0" w:color="auto"/>
                          </w:divBdr>
                          <w:divsChild>
                            <w:div w:id="1225406550">
                              <w:marLeft w:val="0"/>
                              <w:marRight w:val="300"/>
                              <w:marTop w:val="180"/>
                              <w:marBottom w:val="0"/>
                              <w:divBdr>
                                <w:top w:val="none" w:sz="0" w:space="0" w:color="auto"/>
                                <w:left w:val="none" w:sz="0" w:space="0" w:color="auto"/>
                                <w:bottom w:val="none" w:sz="0" w:space="0" w:color="auto"/>
                                <w:right w:val="none" w:sz="0" w:space="0" w:color="auto"/>
                              </w:divBdr>
                              <w:divsChild>
                                <w:div w:id="7023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146356">
          <w:marLeft w:val="0"/>
          <w:marRight w:val="0"/>
          <w:marTop w:val="0"/>
          <w:marBottom w:val="0"/>
          <w:divBdr>
            <w:top w:val="none" w:sz="0" w:space="0" w:color="auto"/>
            <w:left w:val="none" w:sz="0" w:space="0" w:color="auto"/>
            <w:bottom w:val="none" w:sz="0" w:space="0" w:color="auto"/>
            <w:right w:val="none" w:sz="0" w:space="0" w:color="auto"/>
          </w:divBdr>
          <w:divsChild>
            <w:div w:id="991564316">
              <w:marLeft w:val="0"/>
              <w:marRight w:val="0"/>
              <w:marTop w:val="0"/>
              <w:marBottom w:val="0"/>
              <w:divBdr>
                <w:top w:val="none" w:sz="0" w:space="0" w:color="auto"/>
                <w:left w:val="none" w:sz="0" w:space="0" w:color="auto"/>
                <w:bottom w:val="none" w:sz="0" w:space="0" w:color="auto"/>
                <w:right w:val="none" w:sz="0" w:space="0" w:color="auto"/>
              </w:divBdr>
              <w:divsChild>
                <w:div w:id="49546565">
                  <w:marLeft w:val="0"/>
                  <w:marRight w:val="0"/>
                  <w:marTop w:val="0"/>
                  <w:marBottom w:val="0"/>
                  <w:divBdr>
                    <w:top w:val="none" w:sz="0" w:space="0" w:color="auto"/>
                    <w:left w:val="none" w:sz="0" w:space="0" w:color="auto"/>
                    <w:bottom w:val="none" w:sz="0" w:space="0" w:color="auto"/>
                    <w:right w:val="none" w:sz="0" w:space="0" w:color="auto"/>
                  </w:divBdr>
                  <w:divsChild>
                    <w:div w:id="1958560482">
                      <w:marLeft w:val="0"/>
                      <w:marRight w:val="0"/>
                      <w:marTop w:val="0"/>
                      <w:marBottom w:val="0"/>
                      <w:divBdr>
                        <w:top w:val="none" w:sz="0" w:space="0" w:color="auto"/>
                        <w:left w:val="none" w:sz="0" w:space="0" w:color="auto"/>
                        <w:bottom w:val="none" w:sz="0" w:space="0" w:color="auto"/>
                        <w:right w:val="none" w:sz="0" w:space="0" w:color="auto"/>
                      </w:divBdr>
                      <w:divsChild>
                        <w:div w:id="17100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4055">
      <w:bodyDiv w:val="1"/>
      <w:marLeft w:val="0"/>
      <w:marRight w:val="0"/>
      <w:marTop w:val="0"/>
      <w:marBottom w:val="0"/>
      <w:divBdr>
        <w:top w:val="none" w:sz="0" w:space="0" w:color="auto"/>
        <w:left w:val="none" w:sz="0" w:space="0" w:color="auto"/>
        <w:bottom w:val="none" w:sz="0" w:space="0" w:color="auto"/>
        <w:right w:val="none" w:sz="0" w:space="0" w:color="auto"/>
      </w:divBdr>
      <w:divsChild>
        <w:div w:id="1098672043">
          <w:marLeft w:val="0"/>
          <w:marRight w:val="0"/>
          <w:marTop w:val="0"/>
          <w:marBottom w:val="0"/>
          <w:divBdr>
            <w:top w:val="none" w:sz="0" w:space="0" w:color="auto"/>
            <w:left w:val="none" w:sz="0" w:space="0" w:color="auto"/>
            <w:bottom w:val="none" w:sz="0" w:space="0" w:color="auto"/>
            <w:right w:val="none" w:sz="0" w:space="0" w:color="auto"/>
          </w:divBdr>
          <w:divsChild>
            <w:div w:id="1371105282">
              <w:marLeft w:val="0"/>
              <w:marRight w:val="0"/>
              <w:marTop w:val="0"/>
              <w:marBottom w:val="0"/>
              <w:divBdr>
                <w:top w:val="none" w:sz="0" w:space="0" w:color="auto"/>
                <w:left w:val="none" w:sz="0" w:space="0" w:color="auto"/>
                <w:bottom w:val="none" w:sz="0" w:space="0" w:color="auto"/>
                <w:right w:val="none" w:sz="0" w:space="0" w:color="auto"/>
              </w:divBdr>
              <w:divsChild>
                <w:div w:id="1369794226">
                  <w:marLeft w:val="0"/>
                  <w:marRight w:val="0"/>
                  <w:marTop w:val="0"/>
                  <w:marBottom w:val="0"/>
                  <w:divBdr>
                    <w:top w:val="none" w:sz="0" w:space="0" w:color="auto"/>
                    <w:left w:val="none" w:sz="0" w:space="0" w:color="auto"/>
                    <w:bottom w:val="none" w:sz="0" w:space="0" w:color="auto"/>
                    <w:right w:val="none" w:sz="0" w:space="0" w:color="auto"/>
                  </w:divBdr>
                  <w:divsChild>
                    <w:div w:id="911474863">
                      <w:marLeft w:val="0"/>
                      <w:marRight w:val="0"/>
                      <w:marTop w:val="0"/>
                      <w:marBottom w:val="0"/>
                      <w:divBdr>
                        <w:top w:val="none" w:sz="0" w:space="0" w:color="auto"/>
                        <w:left w:val="none" w:sz="0" w:space="0" w:color="auto"/>
                        <w:bottom w:val="none" w:sz="0" w:space="0" w:color="auto"/>
                        <w:right w:val="none" w:sz="0" w:space="0" w:color="auto"/>
                      </w:divBdr>
                      <w:divsChild>
                        <w:div w:id="1619214108">
                          <w:marLeft w:val="0"/>
                          <w:marRight w:val="0"/>
                          <w:marTop w:val="0"/>
                          <w:marBottom w:val="0"/>
                          <w:divBdr>
                            <w:top w:val="none" w:sz="0" w:space="0" w:color="auto"/>
                            <w:left w:val="none" w:sz="0" w:space="0" w:color="auto"/>
                            <w:bottom w:val="none" w:sz="0" w:space="0" w:color="auto"/>
                            <w:right w:val="none" w:sz="0" w:space="0" w:color="auto"/>
                          </w:divBdr>
                          <w:divsChild>
                            <w:div w:id="1872258865">
                              <w:marLeft w:val="0"/>
                              <w:marRight w:val="300"/>
                              <w:marTop w:val="180"/>
                              <w:marBottom w:val="0"/>
                              <w:divBdr>
                                <w:top w:val="none" w:sz="0" w:space="0" w:color="auto"/>
                                <w:left w:val="none" w:sz="0" w:space="0" w:color="auto"/>
                                <w:bottom w:val="none" w:sz="0" w:space="0" w:color="auto"/>
                                <w:right w:val="none" w:sz="0" w:space="0" w:color="auto"/>
                              </w:divBdr>
                              <w:divsChild>
                                <w:div w:id="19151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357890">
          <w:marLeft w:val="0"/>
          <w:marRight w:val="0"/>
          <w:marTop w:val="0"/>
          <w:marBottom w:val="0"/>
          <w:divBdr>
            <w:top w:val="none" w:sz="0" w:space="0" w:color="auto"/>
            <w:left w:val="none" w:sz="0" w:space="0" w:color="auto"/>
            <w:bottom w:val="none" w:sz="0" w:space="0" w:color="auto"/>
            <w:right w:val="none" w:sz="0" w:space="0" w:color="auto"/>
          </w:divBdr>
          <w:divsChild>
            <w:div w:id="206601690">
              <w:marLeft w:val="0"/>
              <w:marRight w:val="0"/>
              <w:marTop w:val="0"/>
              <w:marBottom w:val="0"/>
              <w:divBdr>
                <w:top w:val="none" w:sz="0" w:space="0" w:color="auto"/>
                <w:left w:val="none" w:sz="0" w:space="0" w:color="auto"/>
                <w:bottom w:val="none" w:sz="0" w:space="0" w:color="auto"/>
                <w:right w:val="none" w:sz="0" w:space="0" w:color="auto"/>
              </w:divBdr>
              <w:divsChild>
                <w:div w:id="786776306">
                  <w:marLeft w:val="0"/>
                  <w:marRight w:val="0"/>
                  <w:marTop w:val="0"/>
                  <w:marBottom w:val="0"/>
                  <w:divBdr>
                    <w:top w:val="none" w:sz="0" w:space="0" w:color="auto"/>
                    <w:left w:val="none" w:sz="0" w:space="0" w:color="auto"/>
                    <w:bottom w:val="none" w:sz="0" w:space="0" w:color="auto"/>
                    <w:right w:val="none" w:sz="0" w:space="0" w:color="auto"/>
                  </w:divBdr>
                  <w:divsChild>
                    <w:div w:id="1983122477">
                      <w:marLeft w:val="0"/>
                      <w:marRight w:val="0"/>
                      <w:marTop w:val="0"/>
                      <w:marBottom w:val="0"/>
                      <w:divBdr>
                        <w:top w:val="none" w:sz="0" w:space="0" w:color="auto"/>
                        <w:left w:val="none" w:sz="0" w:space="0" w:color="auto"/>
                        <w:bottom w:val="none" w:sz="0" w:space="0" w:color="auto"/>
                        <w:right w:val="none" w:sz="0" w:space="0" w:color="auto"/>
                      </w:divBdr>
                      <w:divsChild>
                        <w:div w:id="5474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Semic</dc:creator>
  <cp:lastModifiedBy>lejla</cp:lastModifiedBy>
  <cp:revision>2</cp:revision>
  <dcterms:created xsi:type="dcterms:W3CDTF">2020-12-28T11:15:00Z</dcterms:created>
  <dcterms:modified xsi:type="dcterms:W3CDTF">2020-12-28T11:15:00Z</dcterms:modified>
</cp:coreProperties>
</file>